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59CBD" w14:textId="77777777" w:rsidR="000D43B5" w:rsidRDefault="000D43B5" w:rsidP="000D43B5">
      <w:pPr>
        <w:shd w:val="clear" w:color="auto" w:fill="FFFFFF"/>
        <w:spacing w:after="150" w:line="238" w:lineRule="atLeast"/>
        <w:jc w:val="center"/>
        <w:rPr>
          <w:rFonts w:ascii="Arial" w:hAnsi="Arial" w:cs="Arial"/>
          <w:color w:val="242424"/>
          <w:sz w:val="20"/>
          <w:szCs w:val="20"/>
        </w:rPr>
      </w:pPr>
      <w:r>
        <w:rPr>
          <w:b/>
          <w:bCs/>
          <w:color w:val="242424"/>
        </w:rPr>
        <w:t>ЗАКЛЮЧЕНИЕ КОНТРОЛЬНО-СЧЕТНОЙ ПАЛАТЫ ГОРОДА ЛЕРМОНТОВА О ХОДЕ ИСПОЛНЕНИЯ БЮДЖЕТА ГОРОДА ЛЕРМОНТОВА ЗА 1 КВАРТАЛ 2021 ГОДА</w:t>
      </w:r>
    </w:p>
    <w:p w14:paraId="5AAADC65" w14:textId="77777777" w:rsidR="000D43B5" w:rsidRDefault="000D43B5" w:rsidP="000D43B5">
      <w:pPr>
        <w:shd w:val="clear" w:color="auto" w:fill="FFFFFF"/>
        <w:spacing w:line="238" w:lineRule="atLeast"/>
        <w:jc w:val="center"/>
        <w:rPr>
          <w:rFonts w:ascii="Arial" w:hAnsi="Arial" w:cs="Arial"/>
          <w:color w:val="242424"/>
          <w:sz w:val="20"/>
          <w:szCs w:val="20"/>
        </w:rPr>
      </w:pPr>
      <w:r>
        <w:rPr>
          <w:color w:val="FF0000"/>
          <w:bdr w:val="none" w:sz="0" w:space="0" w:color="auto" w:frame="1"/>
        </w:rPr>
        <w:t> </w:t>
      </w:r>
    </w:p>
    <w:p w14:paraId="67D5F172" w14:textId="77777777" w:rsidR="000D43B5" w:rsidRDefault="000D43B5" w:rsidP="000D43B5">
      <w:pPr>
        <w:shd w:val="clear" w:color="auto" w:fill="FFFFFF"/>
        <w:spacing w:after="150" w:line="238" w:lineRule="atLeast"/>
        <w:ind w:firstLine="720"/>
        <w:jc w:val="both"/>
        <w:rPr>
          <w:rFonts w:ascii="Arial" w:hAnsi="Arial" w:cs="Arial"/>
          <w:color w:val="242424"/>
          <w:sz w:val="20"/>
          <w:szCs w:val="20"/>
        </w:rPr>
      </w:pPr>
      <w:r>
        <w:rPr>
          <w:color w:val="242424"/>
        </w:rPr>
        <w:t>Заключение подготовлено с учетом положений пункта 5 статьи 264.2 Бюджетного кодекса Российской Федерации, в соответствии с Уставом города Лермонтова, Положением о бюджетном процессе в городе Лермонтове (решение Совета города Лермонтова от 30.10.2018 г. № 57), ст. 9 Положения о контрольно-счетной палате города Лермонтова (решение Совета города Лермонтова от 30.04.2019 № 17 «О контрольно-счетной палате города Лермонтова».</w:t>
      </w:r>
    </w:p>
    <w:p w14:paraId="159C8BB1"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Отчет об исполнении бюджета города Лермонтова за 1 квартал 2021 года</w:t>
      </w:r>
      <w:r>
        <w:rPr>
          <w:color w:val="242424"/>
          <w:bdr w:val="none" w:sz="0" w:space="0" w:color="auto" w:frame="1"/>
        </w:rPr>
        <w:t>    </w:t>
      </w:r>
      <w:r>
        <w:rPr>
          <w:color w:val="242424"/>
        </w:rPr>
        <w:t>представлен в Контрольно-счетную палату 19.04.2021, что соответствует требованиям пункта 4 статьи 33 Положения о бюджетном процессе в городе Лермонтове.</w:t>
      </w:r>
    </w:p>
    <w:p w14:paraId="31A7C0A5"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Бюджет города Лермонтова на 2021 год утверждён решением Со</w:t>
      </w:r>
      <w:r>
        <w:rPr>
          <w:color w:val="242424"/>
        </w:rPr>
        <w:softHyphen/>
        <w:t>вета города Лермонтова от 15.12.2020 № 69 «О бюджете города Лермонтова на 2021 год и плановый период 2022 и 2023 годов» (далее Решение о бюджете на 2021 год) по доходам в сумме </w:t>
      </w:r>
      <w:r>
        <w:rPr>
          <w:color w:val="242424"/>
          <w:spacing w:val="-2"/>
          <w:bdr w:val="none" w:sz="0" w:space="0" w:color="auto" w:frame="1"/>
        </w:rPr>
        <w:t>970 470,62 </w:t>
      </w:r>
      <w:r>
        <w:rPr>
          <w:color w:val="242424"/>
        </w:rPr>
        <w:t>тыс. руб., расходам в сумме </w:t>
      </w:r>
      <w:r>
        <w:rPr>
          <w:color w:val="242424"/>
          <w:spacing w:val="-2"/>
          <w:bdr w:val="none" w:sz="0" w:space="0" w:color="auto" w:frame="1"/>
        </w:rPr>
        <w:t>975 905,44 </w:t>
      </w:r>
      <w:r>
        <w:rPr>
          <w:color w:val="242424"/>
        </w:rPr>
        <w:t>тыс. руб., с профицитом 5 434,82 тыс. руб.</w:t>
      </w:r>
    </w:p>
    <w:p w14:paraId="0B964E64"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118,52 тыс. руб., расходная на 11 030,56 тыс. руб. Увеличение расходной части бюджета осуществлено за счёт увеличения доходов, использования профицита и создания дефицита бюджета.</w:t>
      </w:r>
    </w:p>
    <w:p w14:paraId="2049FAA4" w14:textId="77777777" w:rsidR="000D43B5" w:rsidRDefault="000D43B5" w:rsidP="000D43B5">
      <w:pPr>
        <w:shd w:val="clear" w:color="auto" w:fill="FFFFFF"/>
        <w:spacing w:after="150" w:line="238" w:lineRule="atLeast"/>
        <w:ind w:firstLine="720"/>
        <w:jc w:val="both"/>
        <w:rPr>
          <w:rFonts w:ascii="Arial" w:hAnsi="Arial" w:cs="Arial"/>
          <w:color w:val="242424"/>
          <w:sz w:val="20"/>
          <w:szCs w:val="20"/>
        </w:rPr>
      </w:pPr>
      <w:r>
        <w:rPr>
          <w:color w:val="242424"/>
        </w:rPr>
        <w:t>С учетом изменений, плановых показателей бюджета города:</w:t>
      </w:r>
    </w:p>
    <w:p w14:paraId="512134C7" w14:textId="77777777" w:rsidR="000D43B5" w:rsidRDefault="000D43B5" w:rsidP="000D43B5">
      <w:pPr>
        <w:shd w:val="clear" w:color="auto" w:fill="FFFFFF"/>
        <w:spacing w:line="238" w:lineRule="atLeast"/>
        <w:ind w:firstLine="720"/>
        <w:jc w:val="both"/>
        <w:rPr>
          <w:rFonts w:ascii="Arial" w:hAnsi="Arial" w:cs="Arial"/>
          <w:color w:val="242424"/>
          <w:sz w:val="20"/>
          <w:szCs w:val="20"/>
        </w:rPr>
      </w:pPr>
      <w:r>
        <w:rPr>
          <w:color w:val="242424"/>
          <w:bdr w:val="none" w:sz="0" w:space="0" w:color="auto" w:frame="1"/>
        </w:rPr>
        <w:t> </w:t>
      </w:r>
      <w:r>
        <w:rPr>
          <w:color w:val="242424"/>
        </w:rPr>
        <w:t>доходы – 970 589,14 тыс. руб., в том числе налоговые и неналоговые – </w:t>
      </w:r>
      <w:r>
        <w:rPr>
          <w:color w:val="242424"/>
          <w:bdr w:val="none" w:sz="0" w:space="0" w:color="auto" w:frame="1"/>
        </w:rPr>
        <w:t>                           </w:t>
      </w:r>
      <w:r>
        <w:rPr>
          <w:color w:val="242424"/>
        </w:rPr>
        <w:t>38 963,0 тыс. руб.;</w:t>
      </w:r>
    </w:p>
    <w:p w14:paraId="01F28FE9" w14:textId="77777777" w:rsidR="000D43B5" w:rsidRDefault="000D43B5" w:rsidP="000D43B5">
      <w:pPr>
        <w:shd w:val="clear" w:color="auto" w:fill="FFFFFF"/>
        <w:spacing w:line="238" w:lineRule="atLeast"/>
        <w:rPr>
          <w:rFonts w:ascii="Arial" w:hAnsi="Arial" w:cs="Arial"/>
          <w:color w:val="242424"/>
          <w:sz w:val="20"/>
          <w:szCs w:val="20"/>
        </w:rPr>
      </w:pPr>
      <w:r>
        <w:rPr>
          <w:color w:val="242424"/>
          <w:bdr w:val="none" w:sz="0" w:space="0" w:color="auto" w:frame="1"/>
        </w:rPr>
        <w:t>         </w:t>
      </w:r>
      <w:r>
        <w:rPr>
          <w:color w:val="242424"/>
        </w:rPr>
        <w:t>расходы – </w:t>
      </w:r>
      <w:r>
        <w:rPr>
          <w:color w:val="242424"/>
          <w:bdr w:val="none" w:sz="0" w:space="0" w:color="auto" w:frame="1"/>
        </w:rPr>
        <w:t>986 936,006 тыс. руб.</w:t>
      </w:r>
      <w:r>
        <w:rPr>
          <w:color w:val="242424"/>
        </w:rPr>
        <w:t>;</w:t>
      </w:r>
    </w:p>
    <w:p w14:paraId="51879A69" w14:textId="77777777" w:rsidR="000D43B5" w:rsidRDefault="000D43B5" w:rsidP="000D43B5">
      <w:pPr>
        <w:shd w:val="clear" w:color="auto" w:fill="FFFFFF"/>
        <w:spacing w:after="150" w:line="238" w:lineRule="atLeast"/>
        <w:ind w:firstLine="720"/>
        <w:jc w:val="both"/>
        <w:rPr>
          <w:rFonts w:ascii="Arial" w:hAnsi="Arial" w:cs="Arial"/>
          <w:color w:val="242424"/>
          <w:sz w:val="20"/>
          <w:szCs w:val="20"/>
        </w:rPr>
      </w:pPr>
      <w:r>
        <w:rPr>
          <w:color w:val="242424"/>
        </w:rPr>
        <w:t>дефицит – 16 347,8 тыс. руб.</w:t>
      </w:r>
    </w:p>
    <w:p w14:paraId="5A3B93E6" w14:textId="77777777" w:rsidR="000D43B5" w:rsidRDefault="000D43B5" w:rsidP="000D43B5">
      <w:pPr>
        <w:shd w:val="clear" w:color="auto" w:fill="FFFFFF"/>
        <w:spacing w:line="238" w:lineRule="atLeast"/>
        <w:ind w:firstLine="720"/>
        <w:jc w:val="both"/>
        <w:rPr>
          <w:rFonts w:ascii="Arial" w:hAnsi="Arial" w:cs="Arial"/>
          <w:color w:val="242424"/>
          <w:sz w:val="20"/>
          <w:szCs w:val="20"/>
        </w:rPr>
      </w:pPr>
      <w:r>
        <w:rPr>
          <w:color w:val="242424"/>
        </w:rPr>
        <w:t>Сложившийся дефицит составляет 2,01 % от общего годового объема доходов бюджета города без учета безвозмездных поступлений </w:t>
      </w:r>
      <w:r>
        <w:rPr>
          <w:color w:val="242424"/>
          <w:bdr w:val="none" w:sz="0" w:space="0" w:color="auto" w:frame="1"/>
        </w:rPr>
        <w:t>                                                     </w:t>
      </w:r>
      <w:r>
        <w:rPr>
          <w:color w:val="242424"/>
        </w:rPr>
        <w:t>(161 239,36 тыс. руб.), что соответствует требованию п. 2.3, пп. «и» Соглашения от 26 ноября 2018 г. № 10-11/1р-2018 «О реструктуризации задолженности муниципального образования города Лермонтова Ставропольского края перед бюджетом Ставропольского края по бюджетному кредиту, предоставленному городу Лермонтову Ставропольского края в соответствии с соглашением о предоставлении из бюджета Ставропольского края бюджетного кредита </w:t>
      </w:r>
      <w:r>
        <w:rPr>
          <w:color w:val="242424"/>
          <w:bdr w:val="none" w:sz="0" w:space="0" w:color="auto" w:frame="1"/>
        </w:rPr>
        <w:t>                     </w:t>
      </w:r>
      <w:r>
        <w:rPr>
          <w:color w:val="242424"/>
        </w:rPr>
        <w:t>от 06 июня 2018 г. № 10-11/4, не более 7 % от суммы доходов местного бюджета без учета безвозмездных поступлений и (или) поступлений налоговых доходов по дополнительным нормативам отчислений.</w:t>
      </w:r>
    </w:p>
    <w:p w14:paraId="3AA5C2A9" w14:textId="77777777" w:rsidR="000D43B5" w:rsidRDefault="000D43B5" w:rsidP="000D43B5">
      <w:pPr>
        <w:shd w:val="clear" w:color="auto" w:fill="FFFFFF"/>
        <w:spacing w:line="238" w:lineRule="atLeast"/>
        <w:ind w:firstLine="720"/>
        <w:jc w:val="both"/>
        <w:rPr>
          <w:rFonts w:ascii="Arial" w:hAnsi="Arial" w:cs="Arial"/>
          <w:color w:val="242424"/>
          <w:sz w:val="20"/>
          <w:szCs w:val="20"/>
        </w:rPr>
      </w:pPr>
      <w:r>
        <w:rPr>
          <w:color w:val="FF0000"/>
          <w:bdr w:val="none" w:sz="0" w:space="0" w:color="auto" w:frame="1"/>
        </w:rPr>
        <w:t> </w:t>
      </w:r>
    </w:p>
    <w:p w14:paraId="04299AA6" w14:textId="77777777" w:rsidR="000D43B5" w:rsidRDefault="000D43B5" w:rsidP="000D43B5">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4B1E9032" w14:textId="77777777" w:rsidR="000D43B5" w:rsidRDefault="000D43B5" w:rsidP="000D43B5">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6E8EA959" w14:textId="77777777" w:rsidR="000D43B5" w:rsidRDefault="000D43B5" w:rsidP="000D43B5">
      <w:pPr>
        <w:shd w:val="clear" w:color="auto" w:fill="FFFFFF"/>
        <w:spacing w:line="238" w:lineRule="atLeast"/>
        <w:ind w:firstLine="748"/>
        <w:jc w:val="center"/>
        <w:rPr>
          <w:rFonts w:ascii="Arial" w:hAnsi="Arial" w:cs="Arial"/>
          <w:color w:val="242424"/>
          <w:sz w:val="20"/>
          <w:szCs w:val="20"/>
        </w:rPr>
      </w:pPr>
      <w:r>
        <w:rPr>
          <w:b/>
          <w:bCs/>
          <w:color w:val="FF0000"/>
          <w:bdr w:val="none" w:sz="0" w:space="0" w:color="auto" w:frame="1"/>
        </w:rPr>
        <w:t> </w:t>
      </w:r>
    </w:p>
    <w:p w14:paraId="7203BDB4" w14:textId="77777777" w:rsidR="000D43B5" w:rsidRDefault="000D43B5" w:rsidP="000D43B5">
      <w:pPr>
        <w:shd w:val="clear" w:color="auto" w:fill="FFFFFF"/>
        <w:spacing w:line="238" w:lineRule="atLeast"/>
        <w:ind w:firstLine="748"/>
        <w:jc w:val="center"/>
        <w:rPr>
          <w:rFonts w:ascii="Arial" w:hAnsi="Arial" w:cs="Arial"/>
          <w:color w:val="242424"/>
          <w:sz w:val="20"/>
          <w:szCs w:val="20"/>
        </w:rPr>
      </w:pPr>
      <w:r>
        <w:rPr>
          <w:b/>
          <w:bCs/>
          <w:color w:val="FF0000"/>
          <w:bdr w:val="none" w:sz="0" w:space="0" w:color="auto" w:frame="1"/>
        </w:rPr>
        <w:t> </w:t>
      </w:r>
    </w:p>
    <w:p w14:paraId="1491A4B2" w14:textId="77777777" w:rsidR="000D43B5" w:rsidRDefault="000D43B5" w:rsidP="000D43B5">
      <w:pPr>
        <w:shd w:val="clear" w:color="auto" w:fill="FFFFFF"/>
        <w:spacing w:line="238" w:lineRule="atLeast"/>
        <w:ind w:firstLine="748"/>
        <w:jc w:val="center"/>
        <w:rPr>
          <w:rFonts w:ascii="Arial" w:hAnsi="Arial" w:cs="Arial"/>
          <w:color w:val="242424"/>
          <w:sz w:val="20"/>
          <w:szCs w:val="20"/>
        </w:rPr>
      </w:pPr>
      <w:r>
        <w:rPr>
          <w:b/>
          <w:bCs/>
          <w:color w:val="FF0000"/>
          <w:bdr w:val="none" w:sz="0" w:space="0" w:color="auto" w:frame="1"/>
        </w:rPr>
        <w:t> </w:t>
      </w:r>
    </w:p>
    <w:p w14:paraId="3267EF58" w14:textId="77777777" w:rsidR="000D43B5" w:rsidRDefault="000D43B5" w:rsidP="000D43B5">
      <w:pPr>
        <w:shd w:val="clear" w:color="auto" w:fill="FFFFFF"/>
        <w:spacing w:line="238" w:lineRule="atLeast"/>
        <w:ind w:firstLine="748"/>
        <w:jc w:val="center"/>
        <w:rPr>
          <w:rFonts w:ascii="Arial" w:hAnsi="Arial" w:cs="Arial"/>
          <w:color w:val="242424"/>
          <w:sz w:val="20"/>
          <w:szCs w:val="20"/>
        </w:rPr>
      </w:pPr>
      <w:r>
        <w:rPr>
          <w:b/>
          <w:bCs/>
          <w:color w:val="FF0000"/>
          <w:bdr w:val="none" w:sz="0" w:space="0" w:color="auto" w:frame="1"/>
        </w:rPr>
        <w:t> </w:t>
      </w:r>
    </w:p>
    <w:p w14:paraId="5855E307" w14:textId="77777777" w:rsidR="000D43B5" w:rsidRDefault="000D43B5" w:rsidP="000D43B5">
      <w:pPr>
        <w:shd w:val="clear" w:color="auto" w:fill="FFFFFF"/>
        <w:spacing w:after="150" w:line="238" w:lineRule="atLeast"/>
        <w:ind w:firstLine="748"/>
        <w:jc w:val="center"/>
        <w:rPr>
          <w:rFonts w:ascii="Arial" w:hAnsi="Arial" w:cs="Arial"/>
          <w:color w:val="242424"/>
          <w:sz w:val="20"/>
          <w:szCs w:val="20"/>
        </w:rPr>
      </w:pPr>
      <w:r>
        <w:rPr>
          <w:b/>
          <w:bCs/>
          <w:color w:val="242424"/>
        </w:rPr>
        <w:t>Анализ исполнения доходной части</w:t>
      </w:r>
    </w:p>
    <w:p w14:paraId="71F35822" w14:textId="77777777" w:rsidR="000D43B5" w:rsidRDefault="000D43B5" w:rsidP="000D43B5">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p>
    <w:p w14:paraId="1F891354" w14:textId="77777777" w:rsidR="000D43B5" w:rsidRDefault="000D43B5" w:rsidP="000D43B5">
      <w:pPr>
        <w:shd w:val="clear" w:color="auto" w:fill="FFFFFF"/>
        <w:spacing w:line="238" w:lineRule="atLeast"/>
        <w:ind w:firstLine="748"/>
        <w:jc w:val="both"/>
        <w:rPr>
          <w:rFonts w:ascii="Arial" w:hAnsi="Arial" w:cs="Arial"/>
          <w:color w:val="242424"/>
          <w:sz w:val="20"/>
          <w:szCs w:val="20"/>
        </w:rPr>
      </w:pPr>
      <w:r>
        <w:rPr>
          <w:color w:val="242424"/>
        </w:rPr>
        <w:lastRenderedPageBreak/>
        <w:t>Фактически за 1 квартал 2021 года поступило доходов </w:t>
      </w:r>
      <w:r>
        <w:rPr>
          <w:color w:val="242424"/>
          <w:bdr w:val="none" w:sz="0" w:space="0" w:color="auto" w:frame="1"/>
        </w:rPr>
        <w:t>                                    </w:t>
      </w:r>
      <w:r>
        <w:rPr>
          <w:color w:val="242424"/>
        </w:rPr>
        <w:t>211 095,90 тыс. руб., что составляет 21,7% от годовых назначений и 103,5% от назначений на 1 квартал 2021 года.</w:t>
      </w:r>
    </w:p>
    <w:p w14:paraId="68B74478" w14:textId="77777777" w:rsidR="000D43B5" w:rsidRDefault="000D43B5" w:rsidP="000D43B5">
      <w:pPr>
        <w:shd w:val="clear" w:color="auto" w:fill="FFFFFF"/>
        <w:spacing w:after="150" w:line="238" w:lineRule="atLeast"/>
        <w:ind w:firstLine="748"/>
        <w:jc w:val="both"/>
        <w:rPr>
          <w:rFonts w:ascii="Arial" w:hAnsi="Arial" w:cs="Arial"/>
          <w:color w:val="242424"/>
          <w:sz w:val="20"/>
          <w:szCs w:val="20"/>
        </w:rPr>
      </w:pPr>
      <w:r>
        <w:rPr>
          <w:color w:val="242424"/>
        </w:rPr>
        <w:t> </w:t>
      </w:r>
    </w:p>
    <w:p w14:paraId="59CAB052" w14:textId="77777777" w:rsidR="000D43B5" w:rsidRDefault="000D43B5" w:rsidP="000D43B5">
      <w:pPr>
        <w:shd w:val="clear" w:color="auto" w:fill="FFFFFF"/>
        <w:spacing w:after="150" w:line="238" w:lineRule="atLeast"/>
        <w:ind w:firstLine="748"/>
        <w:jc w:val="center"/>
        <w:rPr>
          <w:rFonts w:ascii="Arial" w:hAnsi="Arial" w:cs="Arial"/>
          <w:color w:val="242424"/>
          <w:sz w:val="20"/>
          <w:szCs w:val="20"/>
        </w:rPr>
      </w:pPr>
      <w:r>
        <w:rPr>
          <w:color w:val="242424"/>
        </w:rPr>
        <w:t>Анализ выполнения плана по видам доходов</w:t>
      </w:r>
    </w:p>
    <w:p w14:paraId="4FDB15E0" w14:textId="77777777" w:rsidR="000D43B5" w:rsidRDefault="000D43B5" w:rsidP="000D43B5">
      <w:pPr>
        <w:shd w:val="clear" w:color="auto" w:fill="FFFFFF"/>
        <w:spacing w:after="150" w:line="238" w:lineRule="atLeast"/>
        <w:ind w:firstLine="748"/>
        <w:jc w:val="right"/>
        <w:rPr>
          <w:rFonts w:ascii="Arial" w:hAnsi="Arial" w:cs="Arial"/>
          <w:color w:val="242424"/>
          <w:sz w:val="20"/>
          <w:szCs w:val="20"/>
        </w:rPr>
      </w:pPr>
      <w:r>
        <w:rPr>
          <w:color w:val="242424"/>
        </w:rPr>
        <w:t>(тыс. руб.)</w:t>
      </w:r>
    </w:p>
    <w:tbl>
      <w:tblPr>
        <w:tblW w:w="0" w:type="auto"/>
        <w:jc w:val="center"/>
        <w:tblCellMar>
          <w:left w:w="0" w:type="dxa"/>
          <w:right w:w="0" w:type="dxa"/>
        </w:tblCellMar>
        <w:tblLook w:val="04A0" w:firstRow="1" w:lastRow="0" w:firstColumn="1" w:lastColumn="0" w:noHBand="0" w:noVBand="1"/>
      </w:tblPr>
      <w:tblGrid>
        <w:gridCol w:w="2984"/>
        <w:gridCol w:w="2127"/>
        <w:gridCol w:w="2107"/>
        <w:gridCol w:w="2117"/>
      </w:tblGrid>
      <w:tr w:rsidR="000D43B5" w14:paraId="6206F3FD" w14:textId="77777777" w:rsidTr="000D43B5">
        <w:trPr>
          <w:trHeight w:val="1578"/>
          <w:jc w:val="center"/>
        </w:trPr>
        <w:tc>
          <w:tcPr>
            <w:tcW w:w="30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E31548" w14:textId="77777777" w:rsidR="000D43B5" w:rsidRDefault="000D43B5">
            <w:pPr>
              <w:spacing w:after="150" w:line="238" w:lineRule="atLeast"/>
              <w:jc w:val="center"/>
              <w:rPr>
                <w:rFonts w:ascii="Times New Roman" w:hAnsi="Times New Roman" w:cs="Times New Roman"/>
                <w:color w:val="242424"/>
                <w:sz w:val="24"/>
                <w:szCs w:val="24"/>
              </w:rPr>
            </w:pPr>
            <w:r>
              <w:rPr>
                <w:color w:val="242424"/>
              </w:rPr>
              <w:t>Вид доходов</w:t>
            </w:r>
          </w:p>
        </w:tc>
        <w:tc>
          <w:tcPr>
            <w:tcW w:w="21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B43C00" w14:textId="77777777" w:rsidR="000D43B5" w:rsidRDefault="000D43B5">
            <w:pPr>
              <w:spacing w:after="150" w:line="238" w:lineRule="atLeast"/>
              <w:jc w:val="both"/>
              <w:rPr>
                <w:color w:val="242424"/>
              </w:rPr>
            </w:pPr>
            <w:r>
              <w:rPr>
                <w:color w:val="242424"/>
              </w:rPr>
              <w:t>Утверждённые бюджетные назначения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6ECBD4" w14:textId="77777777" w:rsidR="000D43B5" w:rsidRDefault="000D43B5">
            <w:pPr>
              <w:spacing w:after="150" w:line="238" w:lineRule="atLeast"/>
              <w:jc w:val="both"/>
              <w:rPr>
                <w:color w:val="242424"/>
              </w:rPr>
            </w:pPr>
            <w:r>
              <w:rPr>
                <w:color w:val="242424"/>
              </w:rPr>
              <w:t>Фактическое поступление</w:t>
            </w:r>
          </w:p>
        </w:tc>
        <w:tc>
          <w:tcPr>
            <w:tcW w:w="21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8E595D" w14:textId="77777777" w:rsidR="000D43B5" w:rsidRDefault="000D43B5">
            <w:pPr>
              <w:spacing w:after="150" w:line="238" w:lineRule="atLeast"/>
              <w:jc w:val="both"/>
              <w:rPr>
                <w:color w:val="242424"/>
              </w:rPr>
            </w:pPr>
            <w:r>
              <w:rPr>
                <w:color w:val="242424"/>
              </w:rPr>
              <w:t>Отклонение от плановых назначений</w:t>
            </w:r>
          </w:p>
        </w:tc>
      </w:tr>
      <w:tr w:rsidR="000D43B5" w14:paraId="5DE8F93C" w14:textId="77777777" w:rsidTr="000D43B5">
        <w:trPr>
          <w:trHeight w:val="165"/>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FCB1B62" w14:textId="77777777" w:rsidR="000D43B5" w:rsidRDefault="000D43B5">
            <w:pPr>
              <w:spacing w:after="150" w:line="238" w:lineRule="atLeast"/>
              <w:jc w:val="center"/>
              <w:rPr>
                <w:color w:val="242424"/>
              </w:rPr>
            </w:pPr>
            <w:r>
              <w:rPr>
                <w:color w:val="242424"/>
              </w:rPr>
              <w:t>1</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DE65CB6" w14:textId="77777777" w:rsidR="000D43B5" w:rsidRDefault="000D43B5">
            <w:pPr>
              <w:spacing w:after="150" w:line="238" w:lineRule="atLeast"/>
              <w:jc w:val="center"/>
              <w:rPr>
                <w:color w:val="242424"/>
              </w:rPr>
            </w:pPr>
            <w:r>
              <w:rPr>
                <w:color w:val="242424"/>
              </w:rPr>
              <w:t>2</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97F915A" w14:textId="77777777" w:rsidR="000D43B5" w:rsidRDefault="000D43B5">
            <w:pPr>
              <w:spacing w:after="150" w:line="238" w:lineRule="atLeast"/>
              <w:jc w:val="center"/>
              <w:rPr>
                <w:color w:val="242424"/>
              </w:rPr>
            </w:pPr>
            <w:r>
              <w:rPr>
                <w:color w:val="242424"/>
              </w:rPr>
              <w:t>3</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DF7FE70" w14:textId="77777777" w:rsidR="000D43B5" w:rsidRDefault="000D43B5">
            <w:pPr>
              <w:spacing w:after="150" w:line="238" w:lineRule="atLeast"/>
              <w:jc w:val="center"/>
              <w:rPr>
                <w:color w:val="242424"/>
              </w:rPr>
            </w:pPr>
            <w:r>
              <w:rPr>
                <w:color w:val="242424"/>
              </w:rPr>
              <w:t>4</w:t>
            </w:r>
          </w:p>
        </w:tc>
      </w:tr>
      <w:tr w:rsidR="000D43B5" w14:paraId="49D654DC" w14:textId="77777777" w:rsidTr="000D43B5">
        <w:trPr>
          <w:trHeight w:val="257"/>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AE5806" w14:textId="77777777" w:rsidR="000D43B5" w:rsidRDefault="000D43B5">
            <w:pPr>
              <w:spacing w:after="150" w:line="238" w:lineRule="atLeast"/>
              <w:jc w:val="center"/>
              <w:rPr>
                <w:color w:val="242424"/>
              </w:rPr>
            </w:pPr>
            <w:r>
              <w:rPr>
                <w:color w:val="242424"/>
              </w:rPr>
              <w:t>Налоговые доходы</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73C73B" w14:textId="77777777" w:rsidR="000D43B5" w:rsidRDefault="000D43B5">
            <w:pPr>
              <w:spacing w:after="150" w:line="238" w:lineRule="atLeast"/>
              <w:jc w:val="center"/>
              <w:rPr>
                <w:color w:val="242424"/>
              </w:rPr>
            </w:pPr>
            <w:r>
              <w:rPr>
                <w:color w:val="242424"/>
              </w:rPr>
              <w:t>32 868,91</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AEEF3C" w14:textId="77777777" w:rsidR="000D43B5" w:rsidRDefault="000D43B5">
            <w:pPr>
              <w:spacing w:after="150" w:line="238" w:lineRule="atLeast"/>
              <w:jc w:val="center"/>
              <w:rPr>
                <w:color w:val="242424"/>
              </w:rPr>
            </w:pPr>
            <w:r>
              <w:rPr>
                <w:color w:val="242424"/>
              </w:rPr>
              <w:t>34 483,83</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1CB19B" w14:textId="77777777" w:rsidR="000D43B5" w:rsidRDefault="000D43B5">
            <w:pPr>
              <w:spacing w:after="150" w:line="238" w:lineRule="atLeast"/>
              <w:jc w:val="center"/>
              <w:rPr>
                <w:color w:val="242424"/>
              </w:rPr>
            </w:pPr>
            <w:r>
              <w:rPr>
                <w:color w:val="242424"/>
              </w:rPr>
              <w:t>+1 614,92</w:t>
            </w:r>
          </w:p>
        </w:tc>
      </w:tr>
      <w:tr w:rsidR="000D43B5" w14:paraId="747CF087" w14:textId="77777777" w:rsidTr="000D43B5">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8255B0" w14:textId="77777777" w:rsidR="000D43B5" w:rsidRDefault="000D43B5">
            <w:pPr>
              <w:spacing w:after="150" w:line="238" w:lineRule="atLeast"/>
              <w:jc w:val="center"/>
              <w:rPr>
                <w:color w:val="242424"/>
              </w:rPr>
            </w:pPr>
            <w:r>
              <w:rPr>
                <w:color w:val="242424"/>
              </w:rPr>
              <w:t>Неналоговые доходы</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91E0BA5" w14:textId="77777777" w:rsidR="000D43B5" w:rsidRDefault="000D43B5">
            <w:pPr>
              <w:spacing w:after="150" w:line="238" w:lineRule="atLeast"/>
              <w:jc w:val="center"/>
              <w:rPr>
                <w:color w:val="242424"/>
              </w:rPr>
            </w:pPr>
            <w:r>
              <w:rPr>
                <w:color w:val="242424"/>
              </w:rPr>
              <w:t>6 094,10</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0B17018" w14:textId="77777777" w:rsidR="000D43B5" w:rsidRDefault="000D43B5">
            <w:pPr>
              <w:spacing w:after="150" w:line="238" w:lineRule="atLeast"/>
              <w:jc w:val="center"/>
              <w:rPr>
                <w:color w:val="242424"/>
              </w:rPr>
            </w:pPr>
            <w:r>
              <w:rPr>
                <w:color w:val="242424"/>
              </w:rPr>
              <w:t>15 560,35</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225F035" w14:textId="77777777" w:rsidR="000D43B5" w:rsidRDefault="000D43B5">
            <w:pPr>
              <w:spacing w:after="150" w:line="238" w:lineRule="atLeast"/>
              <w:jc w:val="center"/>
              <w:rPr>
                <w:color w:val="242424"/>
              </w:rPr>
            </w:pPr>
            <w:r>
              <w:rPr>
                <w:color w:val="242424"/>
              </w:rPr>
              <w:t>+9 466,25</w:t>
            </w:r>
          </w:p>
        </w:tc>
      </w:tr>
      <w:tr w:rsidR="000D43B5" w14:paraId="0C1D35C1" w14:textId="77777777" w:rsidTr="000D43B5">
        <w:trPr>
          <w:trHeight w:val="807"/>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245720" w14:textId="77777777" w:rsidR="000D43B5" w:rsidRDefault="000D43B5">
            <w:pPr>
              <w:spacing w:after="150" w:line="238" w:lineRule="atLeast"/>
              <w:jc w:val="center"/>
              <w:rPr>
                <w:color w:val="242424"/>
              </w:rPr>
            </w:pPr>
            <w:r>
              <w:rPr>
                <w:color w:val="242424"/>
              </w:rPr>
              <w:t>Безвозмездные поступления</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2F5466" w14:textId="77777777" w:rsidR="000D43B5" w:rsidRDefault="000D43B5">
            <w:pPr>
              <w:spacing w:after="150" w:line="238" w:lineRule="atLeast"/>
              <w:jc w:val="center"/>
              <w:rPr>
                <w:color w:val="242424"/>
              </w:rPr>
            </w:pPr>
            <w:r>
              <w:rPr>
                <w:color w:val="242424"/>
              </w:rPr>
              <w:t>165 216,26</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C58494" w14:textId="77777777" w:rsidR="000D43B5" w:rsidRDefault="000D43B5">
            <w:pPr>
              <w:spacing w:after="150" w:line="238" w:lineRule="atLeast"/>
              <w:jc w:val="center"/>
              <w:rPr>
                <w:color w:val="242424"/>
              </w:rPr>
            </w:pPr>
            <w:r>
              <w:rPr>
                <w:color w:val="242424"/>
              </w:rPr>
              <w:t>161 239,36</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7BEC18" w14:textId="77777777" w:rsidR="000D43B5" w:rsidRDefault="000D43B5">
            <w:pPr>
              <w:spacing w:after="150" w:line="238" w:lineRule="atLeast"/>
              <w:jc w:val="center"/>
              <w:rPr>
                <w:color w:val="242424"/>
              </w:rPr>
            </w:pPr>
            <w:r>
              <w:rPr>
                <w:color w:val="242424"/>
              </w:rPr>
              <w:t>-3 976,90</w:t>
            </w:r>
          </w:p>
        </w:tc>
      </w:tr>
      <w:tr w:rsidR="000D43B5" w14:paraId="23BD01C8" w14:textId="77777777" w:rsidTr="000D43B5">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7A3E948" w14:textId="77777777" w:rsidR="000D43B5" w:rsidRDefault="000D43B5">
            <w:pPr>
              <w:spacing w:after="150" w:line="238" w:lineRule="atLeast"/>
              <w:jc w:val="center"/>
              <w:rPr>
                <w:color w:val="242424"/>
              </w:rPr>
            </w:pPr>
            <w:r>
              <w:rPr>
                <w:color w:val="242424"/>
              </w:rPr>
              <w:t>Прочие безвозмездные поступления</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6394387" w14:textId="77777777" w:rsidR="000D43B5" w:rsidRDefault="000D43B5">
            <w:pPr>
              <w:spacing w:after="150" w:line="238" w:lineRule="atLeast"/>
              <w:jc w:val="center"/>
              <w:rPr>
                <w:color w:val="242424"/>
              </w:rPr>
            </w:pPr>
            <w:r>
              <w:rPr>
                <w:color w:val="242424"/>
              </w:rPr>
              <w:t>--</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DE059C0" w14:textId="77777777" w:rsidR="000D43B5" w:rsidRDefault="000D43B5">
            <w:pPr>
              <w:spacing w:after="150" w:line="238" w:lineRule="atLeast"/>
              <w:jc w:val="center"/>
              <w:rPr>
                <w:color w:val="242424"/>
              </w:rPr>
            </w:pPr>
            <w:r>
              <w:rPr>
                <w:color w:val="242424"/>
              </w:rPr>
              <w:t>-</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2DFEE12" w14:textId="77777777" w:rsidR="000D43B5" w:rsidRDefault="000D43B5">
            <w:pPr>
              <w:spacing w:after="150" w:line="238" w:lineRule="atLeast"/>
              <w:jc w:val="center"/>
              <w:rPr>
                <w:color w:val="242424"/>
              </w:rPr>
            </w:pPr>
            <w:r>
              <w:rPr>
                <w:color w:val="242424"/>
              </w:rPr>
              <w:t>-</w:t>
            </w:r>
          </w:p>
        </w:tc>
      </w:tr>
      <w:tr w:rsidR="000D43B5" w14:paraId="3CD24D8E" w14:textId="77777777" w:rsidTr="000D43B5">
        <w:trPr>
          <w:trHeight w:val="268"/>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FA15F2" w14:textId="77777777" w:rsidR="000D43B5" w:rsidRDefault="000D43B5">
            <w:pPr>
              <w:spacing w:after="150" w:line="238" w:lineRule="atLeast"/>
              <w:jc w:val="center"/>
              <w:rPr>
                <w:color w:val="242424"/>
              </w:rPr>
            </w:pPr>
            <w:r>
              <w:rPr>
                <w:color w:val="242424"/>
              </w:rPr>
              <w:t>Возврат</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28B8E9" w14:textId="77777777" w:rsidR="000D43B5" w:rsidRDefault="000D43B5">
            <w:pPr>
              <w:spacing w:after="150" w:line="238" w:lineRule="atLeast"/>
              <w:jc w:val="center"/>
              <w:rPr>
                <w:color w:val="242424"/>
              </w:rPr>
            </w:pPr>
            <w:r>
              <w:rPr>
                <w:color w:val="242424"/>
              </w:rPr>
              <w:t>-187,64</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4A8DE0" w14:textId="77777777" w:rsidR="000D43B5" w:rsidRDefault="000D43B5">
            <w:pPr>
              <w:spacing w:after="150" w:line="238" w:lineRule="atLeast"/>
              <w:jc w:val="center"/>
              <w:rPr>
                <w:color w:val="242424"/>
              </w:rPr>
            </w:pPr>
            <w:r>
              <w:rPr>
                <w:color w:val="242424"/>
              </w:rPr>
              <w:t>-187,64</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318BF0" w14:textId="77777777" w:rsidR="000D43B5" w:rsidRDefault="000D43B5">
            <w:pPr>
              <w:rPr>
                <w:color w:val="242424"/>
              </w:rPr>
            </w:pPr>
          </w:p>
        </w:tc>
      </w:tr>
      <w:tr w:rsidR="000D43B5" w14:paraId="756B6F71" w14:textId="77777777" w:rsidTr="000D43B5">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AF6127B" w14:textId="77777777" w:rsidR="000D43B5" w:rsidRDefault="000D43B5">
            <w:pPr>
              <w:spacing w:after="150" w:line="238" w:lineRule="atLeast"/>
              <w:jc w:val="center"/>
              <w:rPr>
                <w:color w:val="242424"/>
                <w:sz w:val="24"/>
                <w:szCs w:val="24"/>
              </w:rPr>
            </w:pPr>
            <w:r>
              <w:rPr>
                <w:color w:val="242424"/>
              </w:rPr>
              <w:t>Итого:</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D2FE6FA" w14:textId="77777777" w:rsidR="000D43B5" w:rsidRDefault="000D43B5">
            <w:pPr>
              <w:spacing w:after="150" w:line="238" w:lineRule="atLeast"/>
              <w:jc w:val="center"/>
              <w:rPr>
                <w:color w:val="242424"/>
              </w:rPr>
            </w:pPr>
            <w:r>
              <w:rPr>
                <w:color w:val="242424"/>
              </w:rPr>
              <w:t>203 991,63</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1BCED0C" w14:textId="77777777" w:rsidR="000D43B5" w:rsidRDefault="000D43B5">
            <w:pPr>
              <w:spacing w:after="150" w:line="238" w:lineRule="atLeast"/>
              <w:jc w:val="center"/>
              <w:rPr>
                <w:color w:val="242424"/>
              </w:rPr>
            </w:pPr>
            <w:r>
              <w:rPr>
                <w:color w:val="242424"/>
              </w:rPr>
              <w:t>211 095,90</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7DEB250" w14:textId="77777777" w:rsidR="000D43B5" w:rsidRDefault="000D43B5">
            <w:pPr>
              <w:spacing w:after="150" w:line="238" w:lineRule="atLeast"/>
              <w:jc w:val="center"/>
              <w:rPr>
                <w:color w:val="242424"/>
              </w:rPr>
            </w:pPr>
            <w:r>
              <w:rPr>
                <w:color w:val="242424"/>
              </w:rPr>
              <w:t>+7 104,27</w:t>
            </w:r>
          </w:p>
        </w:tc>
      </w:tr>
    </w:tbl>
    <w:p w14:paraId="359F2DB9"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36A9ECCC"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План поступления </w:t>
      </w:r>
      <w:r>
        <w:rPr>
          <w:b/>
          <w:bCs/>
          <w:color w:val="242424"/>
        </w:rPr>
        <w:t>налоговых доходов</w:t>
      </w:r>
      <w:r>
        <w:rPr>
          <w:color w:val="242424"/>
        </w:rPr>
        <w:t> выполнен на 104,9%.</w:t>
      </w:r>
    </w:p>
    <w:p w14:paraId="2FEE18BD"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Превышены плановые назначения по следующим налогам:</w:t>
      </w:r>
    </w:p>
    <w:p w14:paraId="5C37E133"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налог на доходы физических лиц на 1 916,004 тыс. руб. (9,54%);</w:t>
      </w:r>
    </w:p>
    <w:p w14:paraId="66C759DC"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налоги на совокупный доход на 2 840,24 тыс. руб. (122,48%).</w:t>
      </w:r>
    </w:p>
    <w:p w14:paraId="08CF4230" w14:textId="77777777" w:rsidR="000D43B5" w:rsidRDefault="000D43B5" w:rsidP="000D43B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122AE92E"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 то же время, недопоступили доходы:</w:t>
      </w:r>
    </w:p>
    <w:p w14:paraId="134056F7"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 </w:t>
      </w:r>
      <w:r>
        <w:rPr>
          <w:color w:val="242424"/>
          <w:bdr w:val="none" w:sz="0" w:space="0" w:color="auto" w:frame="1"/>
        </w:rPr>
        <w:t> </w:t>
      </w:r>
      <w:r>
        <w:rPr>
          <w:color w:val="242424"/>
        </w:rPr>
        <w:t>акциз по подакцизным товарам (продукции) на 36,19 тыс. руб. (4,49%);</w:t>
      </w:r>
    </w:p>
    <w:p w14:paraId="2654FFA0"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налог на имущество на 2 977,76 тыс. руб. (33,47%);</w:t>
      </w:r>
    </w:p>
    <w:p w14:paraId="25DF51F4"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государственная пошлина на 127,37 тыс. руб. (16,78%).</w:t>
      </w:r>
    </w:p>
    <w:p w14:paraId="0357B34B"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5685F9D2" w14:textId="77777777" w:rsidR="000D43B5" w:rsidRDefault="000D43B5" w:rsidP="000D43B5">
      <w:pPr>
        <w:pStyle w:val="a5"/>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Плановые назначения по </w:t>
      </w:r>
      <w:r>
        <w:rPr>
          <w:b/>
          <w:bCs/>
          <w:color w:val="242424"/>
        </w:rPr>
        <w:t>неналоговым доходам</w:t>
      </w:r>
      <w:r>
        <w:rPr>
          <w:color w:val="242424"/>
        </w:rPr>
        <w:t> выполнены на 155,33%.</w:t>
      </w:r>
    </w:p>
    <w:p w14:paraId="6CCDC241"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За отчетный период фактически поступило неналоговых доходов,</w:t>
      </w:r>
      <w:r>
        <w:rPr>
          <w:color w:val="242424"/>
          <w:bdr w:val="none" w:sz="0" w:space="0" w:color="auto" w:frame="1"/>
        </w:rPr>
        <w:t>                                     </w:t>
      </w:r>
      <w:r>
        <w:rPr>
          <w:color w:val="242424"/>
        </w:rPr>
        <w:t>15 560,35 тыс. руб., превышение от плановых назначений составило 9 466,25 тыс. руб, в том числе:</w:t>
      </w:r>
    </w:p>
    <w:p w14:paraId="2CA23711"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доходы от имущества, находящегося в муниципальной собственности в размере 7 454,97 тыс. руб., превышение составило 2 429,97 тыс. руб. (48,36%);</w:t>
      </w:r>
    </w:p>
    <w:p w14:paraId="66275FF7"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 </w:t>
      </w:r>
      <w:r>
        <w:rPr>
          <w:color w:val="000000"/>
          <w:bdr w:val="none" w:sz="0" w:space="0" w:color="auto" w:frame="1"/>
        </w:rPr>
        <w:t>доходы от продажи земельных участков, находящихся в муниципальной собственности в размере 7 671,00 тыс. руб. превышение составило 7 161,00 тыс. руб. тыс. руб.,</w:t>
      </w:r>
      <w:r>
        <w:rPr>
          <w:color w:val="242424"/>
        </w:rPr>
        <w:t> </w:t>
      </w:r>
      <w:r>
        <w:rPr>
          <w:color w:val="000000"/>
          <w:bdr w:val="none" w:sz="0" w:space="0" w:color="auto" w:frame="1"/>
        </w:rPr>
        <w:t xml:space="preserve">(превышение </w:t>
      </w:r>
      <w:r>
        <w:rPr>
          <w:color w:val="000000"/>
          <w:bdr w:val="none" w:sz="0" w:space="0" w:color="auto" w:frame="1"/>
        </w:rPr>
        <w:lastRenderedPageBreak/>
        <w:t>плановых назначений обусловлено продажей земельного участка в размере 7 578,00 тыс. руб. Земельный участок находился в аренде);</w:t>
      </w:r>
    </w:p>
    <w:p w14:paraId="0F9969F0" w14:textId="77777777" w:rsidR="000D43B5" w:rsidRDefault="000D43B5" w:rsidP="000D43B5">
      <w:pPr>
        <w:shd w:val="clear" w:color="auto" w:fill="FFFFFF"/>
        <w:spacing w:after="150" w:line="238" w:lineRule="atLeast"/>
        <w:ind w:firstLine="567"/>
        <w:jc w:val="both"/>
        <w:rPr>
          <w:rFonts w:ascii="Arial" w:hAnsi="Arial" w:cs="Arial"/>
          <w:color w:val="242424"/>
          <w:sz w:val="20"/>
          <w:szCs w:val="20"/>
        </w:rPr>
      </w:pPr>
      <w:r>
        <w:rPr>
          <w:color w:val="242424"/>
        </w:rPr>
        <w:t>-доходы от оказания платных услуг (работ) и компенсации затрат государства поступили в объеме 231,2 тыс. руб.;</w:t>
      </w:r>
    </w:p>
    <w:p w14:paraId="0B81E28C"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денежные взыскания (штрафы) – 106,4 тыс. руб.</w:t>
      </w:r>
    </w:p>
    <w:p w14:paraId="10DCDDD8"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Плановые назначения по безвозмездным поступлениям из других бюджетов бюджетной системы РФ выполнены на 97,58% и составили 161 239,36 тыс. руб.</w:t>
      </w:r>
      <w:r>
        <w:rPr>
          <w:color w:val="242424"/>
          <w:bdr w:val="none" w:sz="0" w:space="0" w:color="auto" w:frame="1"/>
        </w:rPr>
        <w:t>  </w:t>
      </w:r>
      <w:r>
        <w:rPr>
          <w:color w:val="242424"/>
        </w:rPr>
        <w:t>Дотация из краевого бюджета на выравнивание бюджетной обеспеченности, в сумме 47 424,50 тыс. руб., поступила в полном объёме.</w:t>
      </w:r>
    </w:p>
    <w:p w14:paraId="043757CD" w14:textId="77777777" w:rsidR="000D43B5" w:rsidRDefault="000D43B5" w:rsidP="000D43B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5A300D04" w14:textId="77777777" w:rsidR="000D43B5" w:rsidRDefault="000D43B5" w:rsidP="000D43B5">
      <w:pPr>
        <w:pStyle w:val="3"/>
        <w:shd w:val="clear" w:color="auto" w:fill="FFFFFF"/>
        <w:spacing w:before="0" w:beforeAutospacing="0" w:after="0" w:afterAutospacing="0"/>
        <w:rPr>
          <w:rFonts w:ascii="Georgia" w:hAnsi="Georgia"/>
          <w:b w:val="0"/>
          <w:bCs w:val="0"/>
          <w:color w:val="333333"/>
          <w:sz w:val="24"/>
          <w:szCs w:val="24"/>
        </w:rPr>
      </w:pPr>
      <w:r>
        <w:rPr>
          <w:b w:val="0"/>
          <w:bCs w:val="0"/>
          <w:color w:val="333333"/>
          <w:sz w:val="24"/>
          <w:szCs w:val="24"/>
          <w:bdr w:val="none" w:sz="0" w:space="0" w:color="auto" w:frame="1"/>
        </w:rPr>
        <w:t>Анализ исполнения расходной части</w:t>
      </w:r>
    </w:p>
    <w:p w14:paraId="00703F7A" w14:textId="77777777" w:rsidR="000D43B5" w:rsidRDefault="000D43B5" w:rsidP="000D43B5">
      <w:pPr>
        <w:shd w:val="clear" w:color="auto" w:fill="FFFFFF"/>
        <w:spacing w:line="238" w:lineRule="atLeast"/>
        <w:ind w:firstLine="748"/>
        <w:jc w:val="both"/>
        <w:rPr>
          <w:rFonts w:ascii="Arial" w:hAnsi="Arial" w:cs="Arial"/>
          <w:color w:val="242424"/>
          <w:sz w:val="20"/>
          <w:szCs w:val="20"/>
        </w:rPr>
      </w:pPr>
      <w:r>
        <w:rPr>
          <w:color w:val="FF0000"/>
          <w:bdr w:val="none" w:sz="0" w:space="0" w:color="auto" w:frame="1"/>
        </w:rPr>
        <w:t> </w:t>
      </w:r>
    </w:p>
    <w:p w14:paraId="6D3FE9CF"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Фактическое исполнение по расходам за 1 квартал 2021 года составило 92,06% уточненных назначений, утвержденных кассовым планом. При плановых назначениях – 203 370,95 тыс. руб. фактически произведено расходов на </w:t>
      </w:r>
      <w:r>
        <w:rPr>
          <w:color w:val="242424"/>
          <w:bdr w:val="none" w:sz="0" w:space="0" w:color="auto" w:frame="1"/>
        </w:rPr>
        <w:t>                       </w:t>
      </w:r>
      <w:r>
        <w:rPr>
          <w:color w:val="242424"/>
        </w:rPr>
        <w:t>187 226,45 тыс. руб. Остаток неиспользованных ассигнований – 16 144,49 тыс. руб. или 7,94 % от запланированного, за аналогичный период прошлого года </w:t>
      </w:r>
      <w:r>
        <w:rPr>
          <w:color w:val="242424"/>
          <w:bdr w:val="none" w:sz="0" w:space="0" w:color="auto" w:frame="1"/>
        </w:rPr>
        <w:t>                     </w:t>
      </w:r>
      <w:r>
        <w:rPr>
          <w:color w:val="242424"/>
        </w:rPr>
        <w:t>25 664,8 </w:t>
      </w:r>
      <w:r>
        <w:rPr>
          <w:color w:val="242424"/>
          <w:bdr w:val="none" w:sz="0" w:space="0" w:color="auto" w:frame="1"/>
        </w:rPr>
        <w:t> </w:t>
      </w:r>
      <w:r>
        <w:rPr>
          <w:color w:val="242424"/>
        </w:rPr>
        <w:t>тыс.руб. или 13,2 %.</w:t>
      </w:r>
      <w:r>
        <w:rPr>
          <w:color w:val="242424"/>
          <w:bdr w:val="none" w:sz="0" w:space="0" w:color="auto" w:frame="1"/>
        </w:rPr>
        <w:t> </w:t>
      </w:r>
    </w:p>
    <w:p w14:paraId="47F996C5" w14:textId="77777777" w:rsidR="000D43B5" w:rsidRDefault="000D43B5" w:rsidP="000D43B5">
      <w:pPr>
        <w:shd w:val="clear" w:color="auto" w:fill="FFFFFF"/>
        <w:spacing w:after="150" w:line="238" w:lineRule="atLeast"/>
        <w:ind w:firstLine="748"/>
        <w:jc w:val="both"/>
        <w:rPr>
          <w:rFonts w:ascii="Arial" w:hAnsi="Arial" w:cs="Arial"/>
          <w:color w:val="242424"/>
          <w:sz w:val="20"/>
          <w:szCs w:val="20"/>
        </w:rPr>
      </w:pPr>
      <w:r>
        <w:rPr>
          <w:color w:val="242424"/>
        </w:rPr>
        <w:t>Остаток денежных средств на лицевом счете бюджета города по состоянию на 01.04.2021 года сложился в размере 43 845,7 тыс. руб., из них средства бюджета Ставропольского края 972,3 тыс. руб.</w:t>
      </w:r>
    </w:p>
    <w:p w14:paraId="4D19F096" w14:textId="77777777" w:rsidR="000D43B5" w:rsidRDefault="000D43B5" w:rsidP="000D43B5">
      <w:pPr>
        <w:shd w:val="clear" w:color="auto" w:fill="FFFFFF"/>
        <w:spacing w:line="238" w:lineRule="atLeast"/>
        <w:ind w:firstLine="748"/>
        <w:jc w:val="center"/>
        <w:rPr>
          <w:rFonts w:ascii="Arial" w:hAnsi="Arial" w:cs="Arial"/>
          <w:color w:val="242424"/>
          <w:sz w:val="20"/>
          <w:szCs w:val="20"/>
        </w:rPr>
      </w:pPr>
      <w:r>
        <w:rPr>
          <w:color w:val="FF0000"/>
          <w:bdr w:val="none" w:sz="0" w:space="0" w:color="auto" w:frame="1"/>
        </w:rPr>
        <w:t> </w:t>
      </w:r>
    </w:p>
    <w:p w14:paraId="772F8F58" w14:textId="77777777" w:rsidR="000D43B5" w:rsidRDefault="000D43B5" w:rsidP="000D43B5">
      <w:pPr>
        <w:shd w:val="clear" w:color="auto" w:fill="FFFFFF"/>
        <w:spacing w:after="150" w:line="238" w:lineRule="atLeast"/>
        <w:ind w:firstLine="748"/>
        <w:jc w:val="center"/>
        <w:rPr>
          <w:rFonts w:ascii="Arial" w:hAnsi="Arial" w:cs="Arial"/>
          <w:color w:val="242424"/>
          <w:sz w:val="20"/>
          <w:szCs w:val="20"/>
        </w:rPr>
      </w:pPr>
      <w:r>
        <w:rPr>
          <w:color w:val="242424"/>
        </w:rPr>
        <w:t>Данные об исполнении расходов главными распорядителями бюджетных средств</w:t>
      </w:r>
    </w:p>
    <w:p w14:paraId="769B0F89" w14:textId="77777777" w:rsidR="000D43B5" w:rsidRDefault="000D43B5" w:rsidP="000D43B5">
      <w:pPr>
        <w:shd w:val="clear" w:color="auto" w:fill="FFFFFF"/>
        <w:spacing w:line="238" w:lineRule="atLeast"/>
        <w:ind w:firstLine="748"/>
        <w:jc w:val="center"/>
        <w:rPr>
          <w:rFonts w:ascii="Arial" w:hAnsi="Arial" w:cs="Arial"/>
          <w:color w:val="242424"/>
          <w:sz w:val="20"/>
          <w:szCs w:val="20"/>
        </w:rPr>
      </w:pPr>
      <w:r>
        <w:rPr>
          <w:color w:val="242424"/>
          <w:bdr w:val="none" w:sz="0" w:space="0" w:color="auto" w:frame="1"/>
        </w:rPr>
        <w:t>                                                                                                                     </w:t>
      </w:r>
      <w:r>
        <w:rPr>
          <w:color w:val="242424"/>
        </w:rPr>
        <w:t>(тыс. руб.)</w:t>
      </w:r>
    </w:p>
    <w:tbl>
      <w:tblPr>
        <w:tblW w:w="9795" w:type="dxa"/>
        <w:jc w:val="center"/>
        <w:tblCellMar>
          <w:left w:w="0" w:type="dxa"/>
          <w:right w:w="0" w:type="dxa"/>
        </w:tblCellMar>
        <w:tblLook w:val="04A0" w:firstRow="1" w:lastRow="0" w:firstColumn="1" w:lastColumn="0" w:noHBand="0" w:noVBand="1"/>
      </w:tblPr>
      <w:tblGrid>
        <w:gridCol w:w="3691"/>
        <w:gridCol w:w="1702"/>
        <w:gridCol w:w="1428"/>
        <w:gridCol w:w="1833"/>
        <w:gridCol w:w="1141"/>
      </w:tblGrid>
      <w:tr w:rsidR="000D43B5" w14:paraId="1DFC82E7" w14:textId="77777777" w:rsidTr="000D43B5">
        <w:trPr>
          <w:jc w:val="center"/>
        </w:trPr>
        <w:tc>
          <w:tcPr>
            <w:tcW w:w="3690" w:type="dxa"/>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5B0029E" w14:textId="77777777" w:rsidR="000D43B5" w:rsidRDefault="000D43B5">
            <w:pPr>
              <w:spacing w:line="224" w:lineRule="atLeast"/>
              <w:jc w:val="both"/>
              <w:rPr>
                <w:rFonts w:ascii="Times New Roman" w:hAnsi="Times New Roman" w:cs="Times New Roman"/>
                <w:color w:val="242424"/>
                <w:sz w:val="24"/>
                <w:szCs w:val="24"/>
              </w:rPr>
            </w:pPr>
            <w:r>
              <w:rPr>
                <w:b/>
                <w:bCs/>
                <w:color w:val="242424"/>
                <w:bdr w:val="none" w:sz="0" w:space="0" w:color="auto" w:frame="1"/>
              </w:rPr>
              <w:t>Наименование ГБРС</w:t>
            </w:r>
          </w:p>
        </w:tc>
        <w:tc>
          <w:tcPr>
            <w:tcW w:w="1701"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612703" w14:textId="77777777" w:rsidR="000D43B5" w:rsidRDefault="000D43B5">
            <w:pPr>
              <w:spacing w:line="224" w:lineRule="atLeast"/>
              <w:jc w:val="center"/>
              <w:rPr>
                <w:color w:val="242424"/>
              </w:rPr>
            </w:pPr>
            <w:r>
              <w:rPr>
                <w:b/>
                <w:bCs/>
                <w:color w:val="242424"/>
                <w:bdr w:val="none" w:sz="0" w:space="0" w:color="auto" w:frame="1"/>
              </w:rPr>
              <w:t>Назначено</w:t>
            </w:r>
          </w:p>
        </w:tc>
        <w:tc>
          <w:tcPr>
            <w:tcW w:w="1428"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6228018" w14:textId="77777777" w:rsidR="000D43B5" w:rsidRDefault="000D43B5">
            <w:pPr>
              <w:pStyle w:val="1"/>
              <w:spacing w:before="0" w:line="483" w:lineRule="atLeast"/>
              <w:jc w:val="center"/>
              <w:rPr>
                <w:rFonts w:ascii="Georgia" w:hAnsi="Georgia"/>
                <w:color w:val="333333"/>
                <w:sz w:val="42"/>
                <w:szCs w:val="42"/>
              </w:rPr>
            </w:pPr>
            <w:r>
              <w:rPr>
                <w:b/>
                <w:bCs/>
                <w:color w:val="333333"/>
                <w:sz w:val="24"/>
                <w:szCs w:val="24"/>
                <w:bdr w:val="none" w:sz="0" w:space="0" w:color="auto" w:frame="1"/>
              </w:rPr>
              <w:t>Исполнено</w:t>
            </w:r>
          </w:p>
        </w:tc>
        <w:tc>
          <w:tcPr>
            <w:tcW w:w="2973" w:type="dxa"/>
            <w:gridSpan w:val="2"/>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2499090A" w14:textId="77777777" w:rsidR="000D43B5" w:rsidRDefault="000D43B5">
            <w:pPr>
              <w:spacing w:line="224" w:lineRule="atLeast"/>
              <w:jc w:val="center"/>
              <w:rPr>
                <w:rFonts w:ascii="Times New Roman" w:hAnsi="Times New Roman"/>
                <w:color w:val="242424"/>
                <w:sz w:val="24"/>
                <w:szCs w:val="24"/>
              </w:rPr>
            </w:pPr>
            <w:r>
              <w:rPr>
                <w:b/>
                <w:bCs/>
                <w:color w:val="242424"/>
                <w:bdr w:val="none" w:sz="0" w:space="0" w:color="auto" w:frame="1"/>
              </w:rPr>
              <w:t>Неисполненные назначения</w:t>
            </w:r>
          </w:p>
        </w:tc>
      </w:tr>
      <w:tr w:rsidR="000D43B5" w14:paraId="1EDC5351" w14:textId="77777777" w:rsidTr="000D43B5">
        <w:trPr>
          <w:jc w:val="center"/>
        </w:trPr>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7B368938" w14:textId="77777777" w:rsidR="000D43B5" w:rsidRDefault="000D43B5">
            <w:pPr>
              <w:spacing w:line="238" w:lineRule="atLeast"/>
              <w:rPr>
                <w:color w:val="242424"/>
                <w:sz w:val="24"/>
                <w:szCs w:val="24"/>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763B171C" w14:textId="77777777" w:rsidR="000D43B5" w:rsidRDefault="000D43B5">
            <w:pPr>
              <w:spacing w:line="238" w:lineRule="atLeast"/>
              <w:rPr>
                <w:color w:val="242424"/>
                <w:sz w:val="24"/>
                <w:szCs w:val="24"/>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53F2916B" w14:textId="77777777" w:rsidR="000D43B5" w:rsidRDefault="000D43B5">
            <w:pPr>
              <w:spacing w:line="238" w:lineRule="atLeast"/>
              <w:rPr>
                <w:rFonts w:ascii="Georgia" w:hAnsi="Georgia"/>
                <w:color w:val="333333"/>
                <w:kern w:val="36"/>
                <w:sz w:val="42"/>
                <w:szCs w:val="42"/>
              </w:rPr>
            </w:pP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BC1A6A4" w14:textId="77777777" w:rsidR="000D43B5" w:rsidRDefault="000D43B5">
            <w:pPr>
              <w:spacing w:line="224" w:lineRule="atLeast"/>
              <w:jc w:val="both"/>
              <w:rPr>
                <w:color w:val="242424"/>
              </w:rPr>
            </w:pPr>
            <w:r>
              <w:rPr>
                <w:b/>
                <w:bCs/>
                <w:color w:val="242424"/>
                <w:bdr w:val="none" w:sz="0" w:space="0" w:color="auto" w:frame="1"/>
              </w:rPr>
              <w:t>тыс.руб.</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6F22A336" w14:textId="77777777" w:rsidR="000D43B5" w:rsidRDefault="000D43B5">
            <w:pPr>
              <w:spacing w:line="224" w:lineRule="atLeast"/>
              <w:jc w:val="center"/>
              <w:rPr>
                <w:color w:val="242424"/>
              </w:rPr>
            </w:pPr>
            <w:r>
              <w:rPr>
                <w:b/>
                <w:bCs/>
                <w:color w:val="242424"/>
                <w:bdr w:val="none" w:sz="0" w:space="0" w:color="auto" w:frame="1"/>
              </w:rPr>
              <w:t>%</w:t>
            </w:r>
          </w:p>
        </w:tc>
      </w:tr>
      <w:tr w:rsidR="000D43B5" w14:paraId="0A0510D2" w14:textId="77777777" w:rsidTr="000D43B5">
        <w:trPr>
          <w:jc w:val="center"/>
        </w:trPr>
        <w:tc>
          <w:tcPr>
            <w:tcW w:w="3690"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751848" w14:textId="77777777" w:rsidR="000D43B5" w:rsidRDefault="000D43B5">
            <w:pPr>
              <w:spacing w:line="224" w:lineRule="atLeast"/>
              <w:jc w:val="both"/>
              <w:rPr>
                <w:color w:val="242424"/>
              </w:rPr>
            </w:pPr>
            <w:r>
              <w:rPr>
                <w:color w:val="242424"/>
                <w:bdr w:val="none" w:sz="0" w:space="0" w:color="auto" w:frame="1"/>
              </w:rPr>
              <w:t>Всего расходов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8312B10" w14:textId="77777777" w:rsidR="000D43B5" w:rsidRDefault="000D43B5">
            <w:pPr>
              <w:spacing w:after="150" w:line="238" w:lineRule="atLeast"/>
              <w:jc w:val="center"/>
              <w:rPr>
                <w:color w:val="242424"/>
              </w:rPr>
            </w:pPr>
            <w:r>
              <w:rPr>
                <w:b/>
                <w:bCs/>
                <w:color w:val="242424"/>
              </w:rPr>
              <w:t>203 370,95</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14E0BC3" w14:textId="77777777" w:rsidR="000D43B5" w:rsidRDefault="000D43B5">
            <w:pPr>
              <w:spacing w:after="150" w:line="238" w:lineRule="atLeast"/>
              <w:jc w:val="center"/>
              <w:rPr>
                <w:color w:val="242424"/>
              </w:rPr>
            </w:pPr>
            <w:r>
              <w:rPr>
                <w:b/>
                <w:bCs/>
                <w:color w:val="242424"/>
              </w:rPr>
              <w:t>187 226,45</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A25F08F" w14:textId="77777777" w:rsidR="000D43B5" w:rsidRDefault="000D43B5">
            <w:pPr>
              <w:spacing w:after="150" w:line="238" w:lineRule="atLeast"/>
              <w:jc w:val="center"/>
              <w:rPr>
                <w:color w:val="242424"/>
              </w:rPr>
            </w:pPr>
            <w:r>
              <w:rPr>
                <w:color w:val="242424"/>
              </w:rPr>
              <w:t>16 144,49</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1C8A8B0C" w14:textId="77777777" w:rsidR="000D43B5" w:rsidRDefault="000D43B5">
            <w:pPr>
              <w:spacing w:after="150" w:line="238" w:lineRule="atLeast"/>
              <w:jc w:val="center"/>
              <w:rPr>
                <w:color w:val="242424"/>
              </w:rPr>
            </w:pPr>
            <w:r>
              <w:rPr>
                <w:color w:val="242424"/>
              </w:rPr>
              <w:t>7,94</w:t>
            </w:r>
          </w:p>
        </w:tc>
      </w:tr>
      <w:tr w:rsidR="000D43B5" w14:paraId="094C406C" w14:textId="77777777" w:rsidTr="000D43B5">
        <w:trPr>
          <w:jc w:val="center"/>
        </w:trPr>
        <w:tc>
          <w:tcPr>
            <w:tcW w:w="3690"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F630A5F" w14:textId="77777777" w:rsidR="000D43B5" w:rsidRDefault="000D43B5">
            <w:pPr>
              <w:spacing w:line="224" w:lineRule="atLeast"/>
              <w:jc w:val="both"/>
              <w:rPr>
                <w:color w:val="242424"/>
              </w:rPr>
            </w:pPr>
            <w:r>
              <w:rPr>
                <w:color w:val="242424"/>
                <w:bdr w:val="none" w:sz="0" w:space="0" w:color="auto" w:frame="1"/>
              </w:rPr>
              <w:t>Совет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591E6A9" w14:textId="77777777" w:rsidR="000D43B5" w:rsidRDefault="000D43B5">
            <w:pPr>
              <w:spacing w:after="150" w:line="238" w:lineRule="atLeast"/>
              <w:jc w:val="center"/>
              <w:rPr>
                <w:color w:val="242424"/>
              </w:rPr>
            </w:pPr>
            <w:r>
              <w:rPr>
                <w:color w:val="242424"/>
              </w:rPr>
              <w:t>842,39</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94A9685" w14:textId="77777777" w:rsidR="000D43B5" w:rsidRDefault="000D43B5">
            <w:pPr>
              <w:spacing w:after="150" w:line="238" w:lineRule="atLeast"/>
              <w:jc w:val="center"/>
              <w:rPr>
                <w:color w:val="242424"/>
              </w:rPr>
            </w:pPr>
            <w:r>
              <w:rPr>
                <w:color w:val="242424"/>
              </w:rPr>
              <w:t>704,55</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D7D3DD6" w14:textId="77777777" w:rsidR="000D43B5" w:rsidRDefault="000D43B5">
            <w:pPr>
              <w:spacing w:after="150" w:line="238" w:lineRule="atLeast"/>
              <w:jc w:val="center"/>
              <w:rPr>
                <w:color w:val="242424"/>
              </w:rPr>
            </w:pPr>
            <w:r>
              <w:rPr>
                <w:color w:val="242424"/>
              </w:rPr>
              <w:t>137,84</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28BA2C8F" w14:textId="77777777" w:rsidR="000D43B5" w:rsidRDefault="000D43B5">
            <w:pPr>
              <w:spacing w:after="150" w:line="238" w:lineRule="atLeast"/>
              <w:jc w:val="center"/>
              <w:rPr>
                <w:color w:val="242424"/>
              </w:rPr>
            </w:pPr>
            <w:r>
              <w:rPr>
                <w:color w:val="242424"/>
              </w:rPr>
              <w:t>16,36</w:t>
            </w:r>
          </w:p>
        </w:tc>
      </w:tr>
      <w:tr w:rsidR="000D43B5" w14:paraId="18A60006" w14:textId="77777777" w:rsidTr="000D43B5">
        <w:trPr>
          <w:jc w:val="center"/>
        </w:trPr>
        <w:tc>
          <w:tcPr>
            <w:tcW w:w="3690"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5013E0" w14:textId="77777777" w:rsidR="000D43B5" w:rsidRDefault="000D43B5">
            <w:pPr>
              <w:spacing w:line="224" w:lineRule="atLeast"/>
              <w:jc w:val="both"/>
              <w:rPr>
                <w:color w:val="242424"/>
              </w:rPr>
            </w:pPr>
            <w:r>
              <w:rPr>
                <w:color w:val="242424"/>
                <w:bdr w:val="none" w:sz="0" w:space="0" w:color="auto" w:frame="1"/>
              </w:rPr>
              <w:t>Администрация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4174B66" w14:textId="77777777" w:rsidR="000D43B5" w:rsidRDefault="000D43B5">
            <w:pPr>
              <w:spacing w:after="150" w:line="238" w:lineRule="atLeast"/>
              <w:jc w:val="center"/>
              <w:rPr>
                <w:color w:val="242424"/>
              </w:rPr>
            </w:pPr>
            <w:r>
              <w:rPr>
                <w:color w:val="242424"/>
              </w:rPr>
              <w:t>18 405,38</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CB4456B" w14:textId="77777777" w:rsidR="000D43B5" w:rsidRDefault="000D43B5">
            <w:pPr>
              <w:spacing w:after="150" w:line="238" w:lineRule="atLeast"/>
              <w:jc w:val="center"/>
              <w:rPr>
                <w:color w:val="242424"/>
              </w:rPr>
            </w:pPr>
            <w:r>
              <w:rPr>
                <w:color w:val="242424"/>
              </w:rPr>
              <w:t>14 428,65</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D81103" w14:textId="77777777" w:rsidR="000D43B5" w:rsidRDefault="000D43B5">
            <w:pPr>
              <w:spacing w:after="150" w:line="238" w:lineRule="atLeast"/>
              <w:jc w:val="center"/>
              <w:rPr>
                <w:color w:val="242424"/>
              </w:rPr>
            </w:pPr>
            <w:r>
              <w:rPr>
                <w:color w:val="242424"/>
              </w:rPr>
              <w:t>3 976,73</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1E114C3A" w14:textId="77777777" w:rsidR="000D43B5" w:rsidRDefault="000D43B5">
            <w:pPr>
              <w:spacing w:after="150" w:line="238" w:lineRule="atLeast"/>
              <w:jc w:val="center"/>
              <w:rPr>
                <w:color w:val="242424"/>
              </w:rPr>
            </w:pPr>
            <w:r>
              <w:rPr>
                <w:color w:val="242424"/>
              </w:rPr>
              <w:t>21,61</w:t>
            </w:r>
          </w:p>
        </w:tc>
      </w:tr>
      <w:tr w:rsidR="000D43B5" w14:paraId="6FA594D5" w14:textId="77777777" w:rsidTr="000D43B5">
        <w:trPr>
          <w:jc w:val="center"/>
        </w:trPr>
        <w:tc>
          <w:tcPr>
            <w:tcW w:w="3690"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35BAD70" w14:textId="77777777" w:rsidR="000D43B5" w:rsidRDefault="000D43B5">
            <w:pPr>
              <w:spacing w:line="224" w:lineRule="atLeast"/>
              <w:jc w:val="both"/>
              <w:rPr>
                <w:color w:val="242424"/>
              </w:rPr>
            </w:pPr>
            <w:r>
              <w:rPr>
                <w:color w:val="242424"/>
                <w:bdr w:val="none" w:sz="0" w:space="0" w:color="auto" w:frame="1"/>
              </w:rPr>
              <w:t>Управление имущественных отношений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F19718F" w14:textId="77777777" w:rsidR="000D43B5" w:rsidRDefault="000D43B5">
            <w:pPr>
              <w:spacing w:after="150" w:line="238" w:lineRule="atLeast"/>
              <w:jc w:val="center"/>
              <w:rPr>
                <w:color w:val="242424"/>
              </w:rPr>
            </w:pPr>
            <w:r>
              <w:rPr>
                <w:color w:val="242424"/>
              </w:rPr>
              <w:t>5 124,17</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E266CEA" w14:textId="77777777" w:rsidR="000D43B5" w:rsidRDefault="000D43B5">
            <w:pPr>
              <w:spacing w:after="150" w:line="238" w:lineRule="atLeast"/>
              <w:jc w:val="center"/>
              <w:rPr>
                <w:color w:val="242424"/>
              </w:rPr>
            </w:pPr>
            <w:r>
              <w:rPr>
                <w:color w:val="242424"/>
              </w:rPr>
              <w:t>4 15,74</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32D3169" w14:textId="77777777" w:rsidR="000D43B5" w:rsidRDefault="000D43B5">
            <w:pPr>
              <w:spacing w:after="150" w:line="238" w:lineRule="atLeast"/>
              <w:jc w:val="center"/>
              <w:rPr>
                <w:color w:val="242424"/>
              </w:rPr>
            </w:pPr>
            <w:r>
              <w:rPr>
                <w:color w:val="242424"/>
              </w:rPr>
              <w:t>965,43</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07CD7246" w14:textId="77777777" w:rsidR="000D43B5" w:rsidRDefault="000D43B5">
            <w:pPr>
              <w:spacing w:after="150" w:line="238" w:lineRule="atLeast"/>
              <w:jc w:val="center"/>
              <w:rPr>
                <w:color w:val="242424"/>
              </w:rPr>
            </w:pPr>
            <w:r>
              <w:rPr>
                <w:color w:val="242424"/>
              </w:rPr>
              <w:t>18,84</w:t>
            </w:r>
          </w:p>
        </w:tc>
      </w:tr>
      <w:tr w:rsidR="000D43B5" w14:paraId="1073B3C3" w14:textId="77777777" w:rsidTr="000D43B5">
        <w:trPr>
          <w:jc w:val="center"/>
        </w:trPr>
        <w:tc>
          <w:tcPr>
            <w:tcW w:w="3690"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E4BB26E" w14:textId="77777777" w:rsidR="000D43B5" w:rsidRDefault="000D43B5">
            <w:pPr>
              <w:spacing w:line="224" w:lineRule="atLeast"/>
              <w:jc w:val="both"/>
              <w:rPr>
                <w:color w:val="242424"/>
              </w:rPr>
            </w:pPr>
            <w:r>
              <w:rPr>
                <w:color w:val="242424"/>
                <w:bdr w:val="none" w:sz="0" w:space="0" w:color="auto" w:frame="1"/>
              </w:rPr>
              <w:t>Финансовое управление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908F3F5" w14:textId="77777777" w:rsidR="000D43B5" w:rsidRDefault="000D43B5">
            <w:pPr>
              <w:spacing w:after="150" w:line="238" w:lineRule="atLeast"/>
              <w:jc w:val="center"/>
              <w:rPr>
                <w:color w:val="242424"/>
              </w:rPr>
            </w:pPr>
            <w:r>
              <w:rPr>
                <w:color w:val="242424"/>
              </w:rPr>
              <w:t>5 171,07</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7840193" w14:textId="77777777" w:rsidR="000D43B5" w:rsidRDefault="000D43B5">
            <w:pPr>
              <w:spacing w:after="150" w:line="238" w:lineRule="atLeast"/>
              <w:jc w:val="center"/>
              <w:rPr>
                <w:color w:val="242424"/>
              </w:rPr>
            </w:pPr>
            <w:r>
              <w:rPr>
                <w:color w:val="242424"/>
              </w:rPr>
              <w:t>3 821,58</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3D631B" w14:textId="77777777" w:rsidR="000D43B5" w:rsidRDefault="000D43B5">
            <w:pPr>
              <w:spacing w:after="150" w:line="238" w:lineRule="atLeast"/>
              <w:jc w:val="center"/>
              <w:rPr>
                <w:color w:val="242424"/>
              </w:rPr>
            </w:pPr>
            <w:r>
              <w:rPr>
                <w:color w:val="242424"/>
              </w:rPr>
              <w:t>1 349,48</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240FE292" w14:textId="77777777" w:rsidR="000D43B5" w:rsidRDefault="000D43B5">
            <w:pPr>
              <w:spacing w:after="150" w:line="238" w:lineRule="atLeast"/>
              <w:jc w:val="center"/>
              <w:rPr>
                <w:color w:val="242424"/>
              </w:rPr>
            </w:pPr>
            <w:r>
              <w:rPr>
                <w:color w:val="242424"/>
              </w:rPr>
              <w:t>26,10</w:t>
            </w:r>
          </w:p>
        </w:tc>
      </w:tr>
      <w:tr w:rsidR="000D43B5" w14:paraId="472DBDD2" w14:textId="77777777" w:rsidTr="000D43B5">
        <w:trPr>
          <w:jc w:val="center"/>
        </w:trPr>
        <w:tc>
          <w:tcPr>
            <w:tcW w:w="3690"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1C40693" w14:textId="77777777" w:rsidR="000D43B5" w:rsidRDefault="000D43B5">
            <w:pPr>
              <w:spacing w:line="224" w:lineRule="atLeast"/>
              <w:jc w:val="both"/>
              <w:rPr>
                <w:color w:val="242424"/>
              </w:rPr>
            </w:pPr>
            <w:r>
              <w:rPr>
                <w:color w:val="242424"/>
                <w:bdr w:val="none" w:sz="0" w:space="0" w:color="auto" w:frame="1"/>
              </w:rPr>
              <w:t>Отдел образования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83CFADD" w14:textId="77777777" w:rsidR="000D43B5" w:rsidRDefault="000D43B5">
            <w:pPr>
              <w:spacing w:after="150" w:line="238" w:lineRule="atLeast"/>
              <w:jc w:val="center"/>
              <w:rPr>
                <w:color w:val="242424"/>
              </w:rPr>
            </w:pPr>
            <w:r>
              <w:rPr>
                <w:color w:val="242424"/>
              </w:rPr>
              <w:t>74 710,26</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670B25E" w14:textId="77777777" w:rsidR="000D43B5" w:rsidRDefault="000D43B5">
            <w:pPr>
              <w:spacing w:after="150" w:line="238" w:lineRule="atLeast"/>
              <w:jc w:val="center"/>
              <w:rPr>
                <w:color w:val="242424"/>
              </w:rPr>
            </w:pPr>
            <w:r>
              <w:rPr>
                <w:color w:val="242424"/>
              </w:rPr>
              <w:t>69 842,47</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C77C84B" w14:textId="77777777" w:rsidR="000D43B5" w:rsidRDefault="000D43B5">
            <w:pPr>
              <w:spacing w:after="150" w:line="238" w:lineRule="atLeast"/>
              <w:jc w:val="center"/>
              <w:rPr>
                <w:color w:val="242424"/>
              </w:rPr>
            </w:pPr>
            <w:r>
              <w:rPr>
                <w:color w:val="242424"/>
              </w:rPr>
              <w:t>4 867,79</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7A4BC0BB" w14:textId="77777777" w:rsidR="000D43B5" w:rsidRDefault="000D43B5">
            <w:pPr>
              <w:spacing w:after="150" w:line="238" w:lineRule="atLeast"/>
              <w:jc w:val="center"/>
              <w:rPr>
                <w:color w:val="242424"/>
              </w:rPr>
            </w:pPr>
            <w:r>
              <w:rPr>
                <w:color w:val="242424"/>
              </w:rPr>
              <w:t>6,52</w:t>
            </w:r>
          </w:p>
        </w:tc>
      </w:tr>
      <w:tr w:rsidR="000D43B5" w14:paraId="46778BFC" w14:textId="77777777" w:rsidTr="000D43B5">
        <w:trPr>
          <w:jc w:val="center"/>
        </w:trPr>
        <w:tc>
          <w:tcPr>
            <w:tcW w:w="3690"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0D7ECBE" w14:textId="77777777" w:rsidR="000D43B5" w:rsidRDefault="000D43B5">
            <w:pPr>
              <w:spacing w:line="224" w:lineRule="atLeast"/>
              <w:jc w:val="both"/>
              <w:rPr>
                <w:color w:val="242424"/>
              </w:rPr>
            </w:pPr>
            <w:r>
              <w:rPr>
                <w:color w:val="242424"/>
                <w:bdr w:val="none" w:sz="0" w:space="0" w:color="auto" w:frame="1"/>
              </w:rPr>
              <w:t>Отдел культуры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A20B7E" w14:textId="77777777" w:rsidR="000D43B5" w:rsidRDefault="000D43B5">
            <w:pPr>
              <w:spacing w:after="150" w:line="238" w:lineRule="atLeast"/>
              <w:jc w:val="center"/>
              <w:rPr>
                <w:color w:val="242424"/>
              </w:rPr>
            </w:pPr>
            <w:r>
              <w:rPr>
                <w:color w:val="242424"/>
              </w:rPr>
              <w:t>14 011,46</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9FABC8" w14:textId="77777777" w:rsidR="000D43B5" w:rsidRDefault="000D43B5">
            <w:pPr>
              <w:spacing w:after="150" w:line="238" w:lineRule="atLeast"/>
              <w:jc w:val="center"/>
              <w:rPr>
                <w:color w:val="242424"/>
              </w:rPr>
            </w:pPr>
            <w:r>
              <w:rPr>
                <w:color w:val="242424"/>
              </w:rPr>
              <w:t>12 12,80</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58DC450" w14:textId="77777777" w:rsidR="000D43B5" w:rsidRDefault="000D43B5">
            <w:pPr>
              <w:spacing w:after="150" w:line="238" w:lineRule="atLeast"/>
              <w:jc w:val="center"/>
              <w:rPr>
                <w:color w:val="242424"/>
              </w:rPr>
            </w:pPr>
            <w:r>
              <w:rPr>
                <w:color w:val="242424"/>
              </w:rPr>
              <w:t>1 885,66</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0AB114CC" w14:textId="77777777" w:rsidR="000D43B5" w:rsidRDefault="000D43B5">
            <w:pPr>
              <w:spacing w:after="150" w:line="238" w:lineRule="atLeast"/>
              <w:jc w:val="center"/>
              <w:rPr>
                <w:color w:val="242424"/>
              </w:rPr>
            </w:pPr>
            <w:r>
              <w:rPr>
                <w:color w:val="242424"/>
              </w:rPr>
              <w:t>13,46</w:t>
            </w:r>
          </w:p>
        </w:tc>
      </w:tr>
      <w:tr w:rsidR="000D43B5" w14:paraId="161BAD0B" w14:textId="77777777" w:rsidTr="000D43B5">
        <w:trPr>
          <w:jc w:val="center"/>
        </w:trPr>
        <w:tc>
          <w:tcPr>
            <w:tcW w:w="3690"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3420D06" w14:textId="77777777" w:rsidR="000D43B5" w:rsidRDefault="000D43B5">
            <w:pPr>
              <w:spacing w:line="224" w:lineRule="atLeast"/>
              <w:jc w:val="both"/>
              <w:rPr>
                <w:color w:val="242424"/>
              </w:rPr>
            </w:pPr>
            <w:r>
              <w:rPr>
                <w:color w:val="242424"/>
                <w:bdr w:val="none" w:sz="0" w:space="0" w:color="auto" w:frame="1"/>
              </w:rPr>
              <w:t>Управление труда и социальной защиты населения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7FA8E26" w14:textId="77777777" w:rsidR="000D43B5" w:rsidRDefault="000D43B5">
            <w:pPr>
              <w:spacing w:after="150" w:line="238" w:lineRule="atLeast"/>
              <w:jc w:val="center"/>
              <w:rPr>
                <w:color w:val="242424"/>
              </w:rPr>
            </w:pPr>
            <w:r>
              <w:rPr>
                <w:color w:val="242424"/>
              </w:rPr>
              <w:t>84 516,91</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22C2217" w14:textId="77777777" w:rsidR="000D43B5" w:rsidRDefault="000D43B5">
            <w:pPr>
              <w:spacing w:after="150" w:line="238" w:lineRule="atLeast"/>
              <w:jc w:val="center"/>
              <w:rPr>
                <w:color w:val="242424"/>
              </w:rPr>
            </w:pPr>
            <w:r>
              <w:rPr>
                <w:color w:val="242424"/>
              </w:rPr>
              <w:t>81 638,67</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2224C7D7" w14:textId="77777777" w:rsidR="000D43B5" w:rsidRDefault="000D43B5">
            <w:pPr>
              <w:spacing w:after="150" w:line="238" w:lineRule="atLeast"/>
              <w:jc w:val="center"/>
              <w:rPr>
                <w:color w:val="242424"/>
              </w:rPr>
            </w:pPr>
            <w:r>
              <w:rPr>
                <w:color w:val="242424"/>
              </w:rPr>
              <w:t>2 878,24</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781343C4" w14:textId="77777777" w:rsidR="000D43B5" w:rsidRDefault="000D43B5">
            <w:pPr>
              <w:spacing w:after="150" w:line="238" w:lineRule="atLeast"/>
              <w:jc w:val="center"/>
              <w:rPr>
                <w:color w:val="242424"/>
              </w:rPr>
            </w:pPr>
            <w:r>
              <w:rPr>
                <w:color w:val="242424"/>
              </w:rPr>
              <w:t>3,41</w:t>
            </w:r>
          </w:p>
        </w:tc>
      </w:tr>
      <w:tr w:rsidR="000D43B5" w14:paraId="62B574CC" w14:textId="77777777" w:rsidTr="000D43B5">
        <w:trPr>
          <w:jc w:val="center"/>
        </w:trPr>
        <w:tc>
          <w:tcPr>
            <w:tcW w:w="3690"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3ECA35C5" w14:textId="77777777" w:rsidR="000D43B5" w:rsidRDefault="000D43B5">
            <w:pPr>
              <w:spacing w:line="224" w:lineRule="atLeast"/>
              <w:jc w:val="both"/>
              <w:rPr>
                <w:color w:val="242424"/>
              </w:rPr>
            </w:pPr>
            <w:r>
              <w:rPr>
                <w:color w:val="242424"/>
                <w:bdr w:val="none" w:sz="0" w:space="0" w:color="auto" w:frame="1"/>
              </w:rPr>
              <w:lastRenderedPageBreak/>
              <w:t>Контрольно-счетная палата города Лермонтова</w:t>
            </w:r>
          </w:p>
        </w:tc>
        <w:tc>
          <w:tcPr>
            <w:tcW w:w="1701"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6E7D97F0" w14:textId="77777777" w:rsidR="000D43B5" w:rsidRDefault="000D43B5">
            <w:pPr>
              <w:spacing w:after="150" w:line="238" w:lineRule="atLeast"/>
              <w:jc w:val="center"/>
              <w:rPr>
                <w:color w:val="242424"/>
              </w:rPr>
            </w:pPr>
            <w:r>
              <w:rPr>
                <w:color w:val="242424"/>
              </w:rPr>
              <w:t>589,26</w:t>
            </w:r>
          </w:p>
        </w:tc>
        <w:tc>
          <w:tcPr>
            <w:tcW w:w="142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633AB611" w14:textId="77777777" w:rsidR="000D43B5" w:rsidRDefault="000D43B5">
            <w:pPr>
              <w:spacing w:after="150" w:line="238" w:lineRule="atLeast"/>
              <w:jc w:val="center"/>
              <w:rPr>
                <w:color w:val="242424"/>
              </w:rPr>
            </w:pPr>
            <w:r>
              <w:rPr>
                <w:color w:val="242424"/>
              </w:rPr>
              <w:t>505,96</w:t>
            </w:r>
          </w:p>
        </w:tc>
        <w:tc>
          <w:tcPr>
            <w:tcW w:w="1832"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5E6788F5" w14:textId="77777777" w:rsidR="000D43B5" w:rsidRDefault="000D43B5">
            <w:pPr>
              <w:spacing w:after="150" w:line="238" w:lineRule="atLeast"/>
              <w:jc w:val="center"/>
              <w:rPr>
                <w:color w:val="242424"/>
              </w:rPr>
            </w:pPr>
            <w:r>
              <w:rPr>
                <w:color w:val="242424"/>
              </w:rPr>
              <w:t>83,30</w:t>
            </w:r>
          </w:p>
        </w:tc>
        <w:tc>
          <w:tcPr>
            <w:tcW w:w="1141" w:type="dxa"/>
            <w:tcBorders>
              <w:top w:val="nil"/>
              <w:left w:val="nil"/>
              <w:bottom w:val="double" w:sz="6" w:space="0" w:color="000000"/>
              <w:right w:val="double" w:sz="6" w:space="0" w:color="000000"/>
            </w:tcBorders>
            <w:shd w:val="clear" w:color="auto" w:fill="auto"/>
            <w:tcMar>
              <w:top w:w="0" w:type="dxa"/>
              <w:left w:w="108" w:type="dxa"/>
              <w:bottom w:w="0" w:type="dxa"/>
              <w:right w:w="108" w:type="dxa"/>
            </w:tcMar>
            <w:vAlign w:val="bottom"/>
            <w:hideMark/>
          </w:tcPr>
          <w:p w14:paraId="44FE1697" w14:textId="77777777" w:rsidR="000D43B5" w:rsidRDefault="000D43B5">
            <w:pPr>
              <w:spacing w:after="150" w:line="238" w:lineRule="atLeast"/>
              <w:jc w:val="center"/>
              <w:rPr>
                <w:color w:val="242424"/>
              </w:rPr>
            </w:pPr>
            <w:r>
              <w:rPr>
                <w:color w:val="242424"/>
              </w:rPr>
              <w:t>14,14</w:t>
            </w:r>
          </w:p>
        </w:tc>
      </w:tr>
    </w:tbl>
    <w:p w14:paraId="664E9D0F"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70EC3851"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В течение 2021 года на основании решений Совета города Лермонтова «О внесении изменений в решение Совета города Лермонтова от 15.12.2020 года № 69 «О бюджете города Лермонтова на 2021 год и плановый период 2022 и 2023 годов» было произведено увеличение ассигновании главным распорядителя бюджетных средств на различные мероприятия в объеме 2 997,18 тыс. руб., в том числе:</w:t>
      </w:r>
    </w:p>
    <w:p w14:paraId="31395C89"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 в сумме 541,97912 тыс. руб. в соответствии с решением Совета города Лермонтова от 23 ноября 2010 года № 114 «Об утверждении Положения о муниципальном дорожном фонде города Лермонтова», пунктом 2.5 бюджетные ассигнования муниципального дорожного фонда, </w:t>
      </w:r>
      <w:r>
        <w:rPr>
          <w:color w:val="242424"/>
          <w:spacing w:val="-1"/>
          <w:bdr w:val="none" w:sz="0" w:space="0" w:color="auto" w:frame="1"/>
        </w:rPr>
        <w:t>неиспользованные в отчетном финансовом году направлены на увеличение </w:t>
      </w:r>
      <w:r>
        <w:rPr>
          <w:color w:val="242424"/>
        </w:rPr>
        <w:t>бюджетных ассигнований муниципального дорожного фонда в очередном финансовом году;</w:t>
      </w:r>
    </w:p>
    <w:p w14:paraId="009FB6D6"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в сумме 206,68 тыс. руб. по администрации города Лермонтова, в том числе:</w:t>
      </w:r>
    </w:p>
    <w:p w14:paraId="0A35D2AA"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в сумме 6,68 тыс. руб. для уплаты земельного налога за 2020 год МКУ «ОКС г. Лермонтова». Обязанность по уплате налога возникла в связи с тем, что 16 сентября 2020 года в МКУ «ОКС» был передан в постоянное (бессрочное) пользование земельный участок с кадастровым номером 26:32:060102:291;</w:t>
      </w:r>
    </w:p>
    <w:p w14:paraId="4DDF6999"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в сумме 200,0 тыс.руб. в связи с необходимостью исполнения постановлений Лермонтовского городского суда;</w:t>
      </w:r>
    </w:p>
    <w:p w14:paraId="0EE2ED83"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 в сумме 2 248,53 тыс. руб. для доведения минимального размера оплаты труда </w:t>
      </w:r>
      <w:r>
        <w:rPr>
          <w:color w:val="242424"/>
          <w:bdr w:val="none" w:sz="0" w:space="0" w:color="auto" w:frame="1"/>
        </w:rPr>
        <w:t> </w:t>
      </w:r>
      <w:r>
        <w:rPr>
          <w:color w:val="242424"/>
        </w:rPr>
        <w:t>с </w:t>
      </w:r>
      <w:r>
        <w:rPr>
          <w:color w:val="242424"/>
          <w:bdr w:val="none" w:sz="0" w:space="0" w:color="auto" w:frame="1"/>
        </w:rPr>
        <w:t> </w:t>
      </w:r>
      <w:r>
        <w:rPr>
          <w:color w:val="242424"/>
        </w:rPr>
        <w:t>01 </w:t>
      </w:r>
      <w:r>
        <w:rPr>
          <w:color w:val="242424"/>
          <w:bdr w:val="none" w:sz="0" w:space="0" w:color="auto" w:frame="1"/>
        </w:rPr>
        <w:t> </w:t>
      </w:r>
      <w:r>
        <w:rPr>
          <w:color w:val="242424"/>
        </w:rPr>
        <w:t>января </w:t>
      </w:r>
      <w:r>
        <w:rPr>
          <w:color w:val="242424"/>
          <w:bdr w:val="none" w:sz="0" w:space="0" w:color="auto" w:frame="1"/>
        </w:rPr>
        <w:t> </w:t>
      </w:r>
      <w:r>
        <w:rPr>
          <w:color w:val="242424"/>
        </w:rPr>
        <w:t>2021 </w:t>
      </w:r>
      <w:r>
        <w:rPr>
          <w:color w:val="242424"/>
          <w:bdr w:val="none" w:sz="0" w:space="0" w:color="auto" w:frame="1"/>
        </w:rPr>
        <w:t> </w:t>
      </w:r>
      <w:r>
        <w:rPr>
          <w:color w:val="242424"/>
        </w:rPr>
        <w:t>года </w:t>
      </w:r>
      <w:r>
        <w:rPr>
          <w:color w:val="242424"/>
          <w:bdr w:val="none" w:sz="0" w:space="0" w:color="auto" w:frame="1"/>
        </w:rPr>
        <w:t> </w:t>
      </w:r>
      <w:r>
        <w:rPr>
          <w:color w:val="242424"/>
        </w:rPr>
        <w:t>до </w:t>
      </w:r>
      <w:r>
        <w:rPr>
          <w:color w:val="242424"/>
          <w:bdr w:val="none" w:sz="0" w:space="0" w:color="auto" w:frame="1"/>
        </w:rPr>
        <w:t> </w:t>
      </w:r>
      <w:r>
        <w:rPr>
          <w:color w:val="242424"/>
        </w:rPr>
        <w:t>12,8 тыс. руб. в месяц.</w:t>
      </w:r>
    </w:p>
    <w:p w14:paraId="32BE6AFF" w14:textId="77777777" w:rsidR="000D43B5" w:rsidRDefault="000D43B5" w:rsidP="000D43B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4E1B7926"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администрацией города Лермонтова </w:t>
      </w:r>
      <w:r>
        <w:rPr>
          <w:color w:val="242424"/>
        </w:rPr>
        <w:t>не освоены ассигнования, утвержденные за 1 квартал 2021 года в размере 3 976,73 тыс.руб. (21,61 % от плановых назначений), в том числе:</w:t>
      </w:r>
    </w:p>
    <w:p w14:paraId="0F038FB5"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01 </w:t>
      </w:r>
      <w:r>
        <w:rPr>
          <w:color w:val="242424"/>
        </w:rPr>
        <w:t>Общегосударственные вопросы не освоены ассигнования в размере 1 385,68 тыс.руб.:</w:t>
      </w:r>
    </w:p>
    <w:p w14:paraId="16ACD19F"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непрограммные расходы в рамках обеспечения деятельности администрации города Лермонтова в размере 634,40 тыс. руб.;</w:t>
      </w:r>
    </w:p>
    <w:p w14:paraId="7EF28372"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расходы на обеспечение деятельности (оказание услуг) муниципальных учреждений в размере 540,02 тыс. руб. по основному мероприятию «Организация предоставления государственных и муниципальных услуг на базе многофункционального центра государственных и муниципальных услуг».</w:t>
      </w:r>
    </w:p>
    <w:p w14:paraId="38A99F94"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03 «Национальная безопасность и правоохранительная деятельность» </w:t>
      </w:r>
      <w:r>
        <w:rPr>
          <w:color w:val="242424"/>
        </w:rPr>
        <w:t>не освоены ассигнования в размере 369,14 тыс. руб. по расходам на обеспечение деятельности аварийно-спасательной службы и мероприятиям в сфере гражданской обороны и защиты от чрезвычайных ситуаций.</w:t>
      </w:r>
    </w:p>
    <w:p w14:paraId="5E5BD1A5" w14:textId="77777777" w:rsidR="000D43B5" w:rsidRDefault="000D43B5" w:rsidP="000D43B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386A1D4"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u w:val="single"/>
        </w:rPr>
        <w:t>По разделу 04 «Национальная экономика»</w:t>
      </w:r>
      <w:r>
        <w:rPr>
          <w:color w:val="242424"/>
        </w:rPr>
        <w:t> не освоены ассигнования в размере 676,95 тыс. руб. (29,24% от плановых ассигнований), в том числе:</w:t>
      </w:r>
    </w:p>
    <w:p w14:paraId="5EFAF14B" w14:textId="77777777" w:rsidR="000D43B5" w:rsidRDefault="000D43B5" w:rsidP="000D43B5">
      <w:pPr>
        <w:shd w:val="clear" w:color="auto" w:fill="FFFFFF"/>
        <w:spacing w:after="150" w:line="238" w:lineRule="atLeast"/>
        <w:ind w:firstLine="360"/>
        <w:jc w:val="both"/>
        <w:rPr>
          <w:rFonts w:ascii="Arial" w:hAnsi="Arial" w:cs="Arial"/>
          <w:color w:val="242424"/>
          <w:sz w:val="20"/>
          <w:szCs w:val="20"/>
        </w:rPr>
      </w:pPr>
      <w:r>
        <w:rPr>
          <w:color w:val="242424"/>
        </w:rPr>
        <w:t>- по подразделу 08 «Транспорт» не освоены в полном объеме ассигнования в размере 400,00 тыс.руб. по основному мероприятию «Поддержка работы автомобильного транспорта по социально значимым маршрутам города» (конкурсные процедуры по определению поставщика);</w:t>
      </w:r>
    </w:p>
    <w:p w14:paraId="5C07BBB0" w14:textId="77777777" w:rsidR="000D43B5" w:rsidRDefault="000D43B5" w:rsidP="000D43B5">
      <w:pPr>
        <w:shd w:val="clear" w:color="auto" w:fill="FFFFFF"/>
        <w:spacing w:line="238" w:lineRule="atLeast"/>
        <w:ind w:firstLine="360"/>
        <w:jc w:val="both"/>
        <w:rPr>
          <w:rFonts w:ascii="Arial" w:hAnsi="Arial" w:cs="Arial"/>
          <w:color w:val="242424"/>
          <w:sz w:val="20"/>
          <w:szCs w:val="20"/>
        </w:rPr>
      </w:pPr>
      <w:r>
        <w:rPr>
          <w:color w:val="242424"/>
        </w:rPr>
        <w:lastRenderedPageBreak/>
        <w:t>- по подразделу 12 «Другие вопросы в области национальной экономики» в размере 196,95 тыс.руб.</w:t>
      </w:r>
      <w:r>
        <w:rPr>
          <w:color w:val="242424"/>
          <w:bdr w:val="none" w:sz="0" w:space="0" w:color="auto" w:frame="1"/>
        </w:rPr>
        <w:t>  </w:t>
      </w:r>
      <w:r>
        <w:rPr>
          <w:color w:val="242424"/>
        </w:rPr>
        <w:t>на обеспечение деятельности (оказание услуг) учреждений в области строительства, архитектуры и градостроительства;</w:t>
      </w:r>
    </w:p>
    <w:p w14:paraId="2FB828ED" w14:textId="77777777" w:rsidR="000D43B5" w:rsidRDefault="000D43B5" w:rsidP="000D43B5">
      <w:pPr>
        <w:shd w:val="clear" w:color="auto" w:fill="FFFFFF"/>
        <w:spacing w:line="238" w:lineRule="atLeast"/>
        <w:ind w:firstLine="360"/>
        <w:jc w:val="both"/>
        <w:rPr>
          <w:rFonts w:ascii="Arial" w:hAnsi="Arial" w:cs="Arial"/>
          <w:color w:val="242424"/>
          <w:sz w:val="20"/>
          <w:szCs w:val="20"/>
        </w:rPr>
      </w:pPr>
      <w:r>
        <w:rPr>
          <w:color w:val="242424"/>
          <w:u w:val="single"/>
        </w:rPr>
        <w:t>По разделу 05 «Жилищно-коммунальное хозяйство»</w:t>
      </w:r>
      <w:r>
        <w:rPr>
          <w:color w:val="242424"/>
        </w:rPr>
        <w:t> не освоены ассигнования в размере 236,55 тыс. руб. (13,05 % от плановых ассигнований) на организацию благоустройства,</w:t>
      </w:r>
      <w:r>
        <w:rPr>
          <w:color w:val="242424"/>
          <w:bdr w:val="none" w:sz="0" w:space="0" w:color="auto" w:frame="1"/>
        </w:rPr>
        <w:t>  </w:t>
      </w:r>
      <w:r>
        <w:rPr>
          <w:color w:val="242424"/>
        </w:rPr>
        <w:t>озеленения территории города Лермонтова.</w:t>
      </w:r>
    </w:p>
    <w:p w14:paraId="4706EBB5" w14:textId="77777777" w:rsidR="000D43B5" w:rsidRDefault="000D43B5" w:rsidP="000D43B5">
      <w:pPr>
        <w:shd w:val="clear" w:color="auto" w:fill="FFFFFF"/>
        <w:spacing w:line="238" w:lineRule="atLeast"/>
        <w:ind w:firstLine="360"/>
        <w:jc w:val="both"/>
        <w:rPr>
          <w:rFonts w:ascii="Arial" w:hAnsi="Arial" w:cs="Arial"/>
          <w:color w:val="242424"/>
          <w:sz w:val="20"/>
          <w:szCs w:val="20"/>
        </w:rPr>
      </w:pPr>
      <w:r>
        <w:rPr>
          <w:color w:val="242424"/>
          <w:u w:val="single"/>
        </w:rPr>
        <w:t>По разделу 10 «Социальная политика»</w:t>
      </w:r>
      <w:r>
        <w:rPr>
          <w:color w:val="242424"/>
        </w:rPr>
        <w:t> не освоены ассигнования в размере </w:t>
      </w:r>
      <w:r>
        <w:rPr>
          <w:color w:val="242424"/>
          <w:bdr w:val="none" w:sz="0" w:space="0" w:color="auto" w:frame="1"/>
        </w:rPr>
        <w:t>                         </w:t>
      </w:r>
      <w:r>
        <w:rPr>
          <w:color w:val="242424"/>
        </w:rPr>
        <w:t>1 308,39 тыс.руб. (90,67% от плановых ассигнований), на осуществление частичного финансирования расходов граждан города Лермонтова в области здравоохранения.</w:t>
      </w:r>
    </w:p>
    <w:p w14:paraId="6F8D4FE6"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1B3F1FE5"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b/>
          <w:bCs/>
          <w:color w:val="242424"/>
        </w:rPr>
        <w:t>Главным распорядителем бюджетных средств – управлением имущественных отношений администрации города Лермонтова </w:t>
      </w:r>
      <w:r>
        <w:rPr>
          <w:color w:val="242424"/>
        </w:rPr>
        <w:t>не освоены ассигнования, утвержденные на 1 квартал 2021 года в размере 965,43 тыс. руб., (18,84 % от плановых назначений), в том числе:</w:t>
      </w:r>
    </w:p>
    <w:p w14:paraId="5FB7590D"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 расходы на обеспечение деятельности (оказание услуг) муниципальных учреждений в размере 517,52</w:t>
      </w:r>
      <w:r>
        <w:rPr>
          <w:color w:val="242424"/>
          <w:bdr w:val="none" w:sz="0" w:space="0" w:color="auto" w:frame="1"/>
        </w:rPr>
        <w:t>  </w:t>
      </w:r>
      <w:r>
        <w:rPr>
          <w:color w:val="242424"/>
        </w:rPr>
        <w:t>тыс. руб. (14,15 % от плановых ассигнований);</w:t>
      </w:r>
    </w:p>
    <w:p w14:paraId="17E01ECB"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техническая паспортизация объектов недвижимого имущества в размере 40,0 тыс. руб.;</w:t>
      </w:r>
    </w:p>
    <w:p w14:paraId="0C0A07C6"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оплата коммунальных услуг по имуществу, находящемуся в муниципальной казне города в размере 46,87 тыс. руб.;</w:t>
      </w:r>
    </w:p>
    <w:p w14:paraId="77D8E8FB"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 полном объеме не освоены ассигнования:</w:t>
      </w:r>
      <w:r>
        <w:rPr>
          <w:color w:val="242424"/>
          <w:bdr w:val="none" w:sz="0" w:space="0" w:color="auto" w:frame="1"/>
        </w:rPr>
        <w:t>  </w:t>
      </w:r>
    </w:p>
    <w:p w14:paraId="576ECBE9"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выполнение работ по содержанию кладбищ в рамках благоустройства в размере 71,43 тыс. руб.;</w:t>
      </w:r>
    </w:p>
    <w:p w14:paraId="509184AF"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кадастровые работы по формированию земельных участков в размере 100,00 тыс. руб.</w:t>
      </w:r>
    </w:p>
    <w:p w14:paraId="799BFBA5"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7011F37B"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отделом культуры администрации города Лермонтова </w:t>
      </w:r>
      <w:r>
        <w:rPr>
          <w:color w:val="242424"/>
        </w:rPr>
        <w:t>не освоены ассигнования, утвержденные на 1 квартал 2021 года в размере 1 885,66 тыс. руб. (13,46% от плановых назначений), в том числе, ассигнования, предусмотренные на расходы по обеспечению деятельности (оказание услуг) муниципальных учреждений:</w:t>
      </w:r>
    </w:p>
    <w:p w14:paraId="7BB6B057"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u w:val="single"/>
        </w:rPr>
        <w:t>- по разделу 07</w:t>
      </w:r>
      <w:r>
        <w:rPr>
          <w:color w:val="242424"/>
        </w:rPr>
        <w:t> «Общее образование» - в размере 1 135,11 тыс. руб. (17,73% от плановых назначений):</w:t>
      </w:r>
    </w:p>
    <w:p w14:paraId="2A97E0C9" w14:textId="77777777" w:rsidR="000D43B5" w:rsidRDefault="000D43B5" w:rsidP="000D43B5">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w:t>
      </w:r>
      <w:r>
        <w:rPr>
          <w:color w:val="242424"/>
        </w:rPr>
        <w:t>по подразделу 3 «Дополнительное образование детей» на реализацию дополнительных предпрофессиональных и общеобразовательных программ в размере 822,79 тыс. руб.;</w:t>
      </w:r>
    </w:p>
    <w:p w14:paraId="1F973725" w14:textId="77777777" w:rsidR="000D43B5" w:rsidRDefault="000D43B5" w:rsidP="000D43B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по подразделу 9 «Другие вопросы в области образования» на обеспечение пожарной безопасности учреждений культуры и образования в сфере культуры города Лермонтова в размере 44,36 тыс. руб.;</w:t>
      </w:r>
    </w:p>
    <w:p w14:paraId="072B3BCB" w14:textId="77777777" w:rsidR="000D43B5" w:rsidRDefault="000D43B5" w:rsidP="000D43B5">
      <w:pPr>
        <w:shd w:val="clear" w:color="auto" w:fill="FFFFFF"/>
        <w:spacing w:line="238" w:lineRule="atLeast"/>
        <w:ind w:firstLine="360"/>
        <w:jc w:val="both"/>
        <w:rPr>
          <w:rFonts w:ascii="Arial" w:hAnsi="Arial" w:cs="Arial"/>
          <w:color w:val="242424"/>
          <w:sz w:val="20"/>
          <w:szCs w:val="20"/>
        </w:rPr>
      </w:pPr>
      <w:r>
        <w:rPr>
          <w:color w:val="242424"/>
          <w:bdr w:val="none" w:sz="0" w:space="0" w:color="auto" w:frame="1"/>
        </w:rPr>
        <w:t>         </w:t>
      </w:r>
      <w:r>
        <w:rPr>
          <w:color w:val="242424"/>
        </w:rPr>
        <w:t>В полном объеме не освоены ассигнования на профилактику и устранение последствий распространения коронавирусной инфекции на территории города Лермонтова в размере 220,00 тыс. руб. (конкурсные процедуры по определению поставщика).</w:t>
      </w:r>
    </w:p>
    <w:p w14:paraId="20A19AD0"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w:t>
      </w:r>
      <w:r>
        <w:rPr>
          <w:color w:val="242424"/>
          <w:u w:val="single"/>
        </w:rPr>
        <w:t>По разделу 08 «Культура»</w:t>
      </w:r>
      <w:r>
        <w:rPr>
          <w:color w:val="242424"/>
        </w:rPr>
        <w:t> - в размере 750,54 тыс. руб. (9,86% от плановых назначений), в том числе:</w:t>
      </w:r>
    </w:p>
    <w:p w14:paraId="72BCDCA6" w14:textId="77777777" w:rsidR="000D43B5" w:rsidRDefault="000D43B5" w:rsidP="000D43B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на развитие библиотечного обслуживания населения города Лермонтова в размере 305,80 тыс. руб.;</w:t>
      </w:r>
    </w:p>
    <w:p w14:paraId="5269CA42" w14:textId="77777777" w:rsidR="000D43B5" w:rsidRDefault="000D43B5" w:rsidP="000D43B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профилактика и устранение последствий распространения коронавирусной инфекции на территории города Лермонтова в размере 288,86 тыс. руб.;</w:t>
      </w:r>
    </w:p>
    <w:p w14:paraId="3F812CDA" w14:textId="77777777" w:rsidR="000D43B5" w:rsidRDefault="000D43B5" w:rsidP="000D43B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lastRenderedPageBreak/>
        <w:t>- проведение мероприятий по профилактике наркомании и пропаганде здорового образа жизни в размере 25,00 тыс. руб.;</w:t>
      </w:r>
    </w:p>
    <w:p w14:paraId="59A29018"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расходы на выплаты по оплате труда работников органов местного самоуправления города Лермонтова 63,01 тыс.руб.</w:t>
      </w:r>
    </w:p>
    <w:p w14:paraId="4C7ECDF2" w14:textId="77777777" w:rsidR="000D43B5" w:rsidRDefault="000D43B5" w:rsidP="000D43B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37AFA5F7"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отделом образования, физической культуры и спорта администрации города Лермонтова </w:t>
      </w:r>
      <w:r>
        <w:rPr>
          <w:color w:val="242424"/>
        </w:rPr>
        <w:t>не освоены ассигнования, утвержденные на 1 квартал 2021 года в размере 4 867,79 тыс. руб. (6,52% от плановых назначений), в том числе:</w:t>
      </w:r>
    </w:p>
    <w:p w14:paraId="687EC188"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проведение противорадоновых и ремонтных мероприятий в дошкольных в образовательных учреждениях города в размере 254,95 тыс. руб.;</w:t>
      </w:r>
    </w:p>
    <w:p w14:paraId="61D35F36"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расходы на обеспечение реализации муниципальной программы «Развитие образования в городе Лермонтове» в размере 332,01 тыс.руб.;</w:t>
      </w:r>
    </w:p>
    <w:p w14:paraId="04F88E89"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 предоставление консультационных и методических услуг в размере</w:t>
      </w:r>
      <w:r>
        <w:rPr>
          <w:color w:val="242424"/>
          <w:bdr w:val="none" w:sz="0" w:space="0" w:color="auto" w:frame="1"/>
        </w:rPr>
        <w:t>                            </w:t>
      </w:r>
      <w:r>
        <w:rPr>
          <w:color w:val="242424"/>
        </w:rPr>
        <w:t>123,65 тыс. руб.;</w:t>
      </w:r>
    </w:p>
    <w:p w14:paraId="4E80D12B"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color w:val="242424"/>
        </w:rPr>
        <w:t>- расходы на поддержку детей-инвалидов, детей-сирот и детей, оставшихся без попечения родителей, оздоровление и занятость подростков в размере</w:t>
      </w:r>
      <w:r>
        <w:rPr>
          <w:color w:val="242424"/>
          <w:bdr w:val="none" w:sz="0" w:space="0" w:color="auto" w:frame="1"/>
        </w:rPr>
        <w:t>                                    </w:t>
      </w:r>
      <w:r>
        <w:rPr>
          <w:color w:val="242424"/>
        </w:rPr>
        <w:t>306,23 тыс. руб.</w:t>
      </w:r>
    </w:p>
    <w:p w14:paraId="3EE54FB0"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 полном объеме не освоены ассигнования:</w:t>
      </w:r>
      <w:r>
        <w:rPr>
          <w:color w:val="242424"/>
          <w:bdr w:val="none" w:sz="0" w:space="0" w:color="auto" w:frame="1"/>
        </w:rPr>
        <w:t>  </w:t>
      </w:r>
    </w:p>
    <w:p w14:paraId="7E2EF072" w14:textId="77777777" w:rsidR="000D43B5" w:rsidRDefault="000D43B5" w:rsidP="000D43B5">
      <w:pPr>
        <w:shd w:val="clear" w:color="auto" w:fill="FFFFFF"/>
        <w:spacing w:after="150" w:line="238" w:lineRule="atLeast"/>
        <w:ind w:firstLine="360"/>
        <w:jc w:val="both"/>
        <w:rPr>
          <w:rFonts w:ascii="Arial" w:hAnsi="Arial" w:cs="Arial"/>
          <w:color w:val="242424"/>
          <w:sz w:val="20"/>
          <w:szCs w:val="20"/>
        </w:rPr>
      </w:pPr>
      <w:r>
        <w:rPr>
          <w:color w:val="242424"/>
        </w:rPr>
        <w:t>- профилактика и устранение последствий распространения коронавирусной инфекции на территории города Лермонтова в размере 3 480,00 тыс. руб. (конкурсные процедуры по определению поставщика);</w:t>
      </w:r>
    </w:p>
    <w:p w14:paraId="69CB39A0" w14:textId="77777777" w:rsidR="000D43B5" w:rsidRDefault="000D43B5" w:rsidP="000D43B5">
      <w:pPr>
        <w:shd w:val="clear" w:color="auto" w:fill="FFFFFF"/>
        <w:spacing w:line="238" w:lineRule="atLeast"/>
        <w:jc w:val="both"/>
        <w:rPr>
          <w:rFonts w:ascii="Arial" w:hAnsi="Arial" w:cs="Arial"/>
          <w:color w:val="242424"/>
          <w:sz w:val="20"/>
          <w:szCs w:val="20"/>
        </w:rPr>
      </w:pPr>
      <w:r>
        <w:rPr>
          <w:b/>
          <w:bCs/>
          <w:color w:val="FF0000"/>
          <w:bdr w:val="none" w:sz="0" w:space="0" w:color="auto" w:frame="1"/>
        </w:rPr>
        <w:t> </w:t>
      </w:r>
    </w:p>
    <w:p w14:paraId="346EA4D7" w14:textId="77777777" w:rsidR="000D43B5" w:rsidRDefault="000D43B5" w:rsidP="000D43B5">
      <w:pPr>
        <w:shd w:val="clear" w:color="auto" w:fill="FFFFFF"/>
        <w:spacing w:line="238" w:lineRule="atLeast"/>
        <w:ind w:firstLine="708"/>
        <w:jc w:val="both"/>
        <w:rPr>
          <w:rFonts w:ascii="Arial" w:hAnsi="Arial" w:cs="Arial"/>
          <w:color w:val="242424"/>
          <w:sz w:val="20"/>
          <w:szCs w:val="20"/>
        </w:rPr>
      </w:pPr>
      <w:r>
        <w:rPr>
          <w:b/>
          <w:bCs/>
          <w:color w:val="242424"/>
        </w:rPr>
        <w:t>Главным распорядителем средств бюджета – финансовым управлением администрации города Лермонтова </w:t>
      </w:r>
      <w:r>
        <w:rPr>
          <w:color w:val="242424"/>
        </w:rPr>
        <w:t>не освоены ассигнования, утвержденные на 1 квартал 2021 года в размере 1 349,48 </w:t>
      </w:r>
      <w:r>
        <w:rPr>
          <w:color w:val="242424"/>
          <w:bdr w:val="none" w:sz="0" w:space="0" w:color="auto" w:frame="1"/>
        </w:rPr>
        <w:t> </w:t>
      </w:r>
      <w:r>
        <w:rPr>
          <w:color w:val="242424"/>
        </w:rPr>
        <w:t>тыс. руб. (26,1% от плановых назначений), в том числе:</w:t>
      </w:r>
    </w:p>
    <w:p w14:paraId="13B68D4C"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01 «</w:t>
      </w:r>
      <w:r>
        <w:rPr>
          <w:color w:val="242424"/>
        </w:rPr>
        <w:t>Общегосударственные вопросы» не освоены ассигнования в размере 963,46 тыс.руб.:</w:t>
      </w:r>
    </w:p>
    <w:p w14:paraId="5D575122" w14:textId="77777777" w:rsidR="000D43B5" w:rsidRDefault="000D43B5" w:rsidP="000D43B5">
      <w:pPr>
        <w:shd w:val="clear" w:color="auto" w:fill="FFFFFF"/>
        <w:spacing w:after="150" w:line="238" w:lineRule="atLeast"/>
        <w:ind w:firstLine="360"/>
        <w:jc w:val="both"/>
        <w:rPr>
          <w:rFonts w:ascii="Arial" w:hAnsi="Arial" w:cs="Arial"/>
          <w:color w:val="242424"/>
          <w:sz w:val="20"/>
          <w:szCs w:val="20"/>
        </w:rPr>
      </w:pPr>
      <w:r>
        <w:rPr>
          <w:color w:val="242424"/>
        </w:rPr>
        <w:t>- по подразделу 06 «Обеспечение деятельности финансовых, налоговых и таможенных органов и органов финансового (финансово-бюджетного) надзора» не освоены ассигнования в размере 258,03 тыс. руб. по расходам на обеспечение реализации муниципальной программы «Управление муниципальными финансами города Лермонтова»;</w:t>
      </w:r>
    </w:p>
    <w:p w14:paraId="79D06BDA"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w:t>
      </w:r>
      <w:r>
        <w:rPr>
          <w:color w:val="242424"/>
          <w:bdr w:val="none" w:sz="0" w:space="0" w:color="auto" w:frame="1"/>
        </w:rPr>
        <w:t> </w:t>
      </w:r>
      <w:r>
        <w:rPr>
          <w:color w:val="242424"/>
        </w:rPr>
        <w:t>по подразделу 11 «Резервные фонды» не освоены в полном объеме ассигнования в размере 125,00 тыс.руб. на обеспечение расходов за счет средств резервного фонда по предупреждению и ликвидации чрезвычайных ситуаций и последствий стихийных бедствий в городе Лермонтове;</w:t>
      </w:r>
    </w:p>
    <w:p w14:paraId="4BC6769E"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t>- по подразделу 13 «Другие общегосударственные вопросы» не освоены ассигнования в размере 580,43 тыс. руб., на расходы по обеспечению деятельности (оказание услуг) муниципальных учреждений.</w:t>
      </w:r>
    </w:p>
    <w:p w14:paraId="17C15EF2"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13</w:t>
      </w:r>
      <w:r>
        <w:rPr>
          <w:color w:val="242424"/>
        </w:rPr>
        <w:t> «Обслуживание государственного (муниципального) внутреннего долга не освоены ассигнования в размере 386,02 тыс. руб.</w:t>
      </w:r>
    </w:p>
    <w:p w14:paraId="706431B1" w14:textId="77777777" w:rsidR="000D43B5" w:rsidRDefault="000D43B5" w:rsidP="000D43B5">
      <w:pPr>
        <w:shd w:val="clear" w:color="auto" w:fill="FFFFFF"/>
        <w:spacing w:line="238" w:lineRule="atLeast"/>
        <w:jc w:val="both"/>
        <w:rPr>
          <w:rFonts w:ascii="Arial" w:hAnsi="Arial" w:cs="Arial"/>
          <w:color w:val="242424"/>
          <w:sz w:val="20"/>
          <w:szCs w:val="20"/>
        </w:rPr>
      </w:pPr>
      <w:r>
        <w:rPr>
          <w:b/>
          <w:bCs/>
          <w:color w:val="FF0000"/>
          <w:bdr w:val="none" w:sz="0" w:space="0" w:color="auto" w:frame="1"/>
        </w:rPr>
        <w:t> </w:t>
      </w:r>
    </w:p>
    <w:p w14:paraId="4ED353F4" w14:textId="77777777" w:rsidR="000D43B5" w:rsidRDefault="000D43B5" w:rsidP="000D43B5">
      <w:pPr>
        <w:shd w:val="clear" w:color="auto" w:fill="FFFFFF"/>
        <w:spacing w:after="150" w:line="238" w:lineRule="atLeast"/>
        <w:ind w:firstLine="748"/>
        <w:jc w:val="center"/>
        <w:rPr>
          <w:rFonts w:ascii="Arial" w:hAnsi="Arial" w:cs="Arial"/>
          <w:color w:val="242424"/>
          <w:sz w:val="20"/>
          <w:szCs w:val="20"/>
        </w:rPr>
      </w:pPr>
      <w:r>
        <w:rPr>
          <w:b/>
          <w:bCs/>
          <w:color w:val="242424"/>
        </w:rPr>
        <w:t>МУНИЦИПАЛЬНЫЕ ЗАИМСТВОВАНИЯ</w:t>
      </w:r>
    </w:p>
    <w:p w14:paraId="1C488CD6" w14:textId="77777777" w:rsidR="000D43B5" w:rsidRDefault="000D43B5" w:rsidP="000D43B5">
      <w:pPr>
        <w:shd w:val="clear" w:color="auto" w:fill="FFFFFF"/>
        <w:spacing w:line="238" w:lineRule="atLeast"/>
        <w:ind w:firstLine="748"/>
        <w:rPr>
          <w:rFonts w:ascii="Arial" w:hAnsi="Arial" w:cs="Arial"/>
          <w:color w:val="242424"/>
          <w:sz w:val="20"/>
          <w:szCs w:val="20"/>
        </w:rPr>
      </w:pPr>
      <w:r>
        <w:rPr>
          <w:color w:val="242424"/>
          <w:bdr w:val="none" w:sz="0" w:space="0" w:color="auto" w:frame="1"/>
        </w:rPr>
        <w:t>                                                                                   </w:t>
      </w:r>
    </w:p>
    <w:p w14:paraId="264FB560" w14:textId="77777777" w:rsidR="000D43B5" w:rsidRDefault="000D43B5" w:rsidP="000D43B5">
      <w:pPr>
        <w:shd w:val="clear" w:color="auto" w:fill="FFFFFF"/>
        <w:spacing w:after="150" w:line="238" w:lineRule="atLeast"/>
        <w:ind w:firstLine="708"/>
        <w:jc w:val="both"/>
        <w:rPr>
          <w:rFonts w:ascii="Arial" w:hAnsi="Arial" w:cs="Arial"/>
          <w:color w:val="242424"/>
          <w:sz w:val="20"/>
          <w:szCs w:val="20"/>
        </w:rPr>
      </w:pPr>
      <w:r>
        <w:rPr>
          <w:color w:val="242424"/>
        </w:rPr>
        <w:lastRenderedPageBreak/>
        <w:t>Муниципальный долг города по состоянию на 01.04.2020 года составляет 5,05 млн. руб., что не превышает верхний предел, установленный решением Совета «О бюджете города Лермонтова на 2021 год». Структура муниципального долга:</w:t>
      </w:r>
    </w:p>
    <w:p w14:paraId="5AEDF03A"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муниципальные гарантии 0,8 млн. руб.;</w:t>
      </w:r>
    </w:p>
    <w:p w14:paraId="7525BE6E"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бюджетные кредиты из бюджета Ставропольского края </w:t>
      </w:r>
      <w:r>
        <w:rPr>
          <w:color w:val="242424"/>
          <w:bdr w:val="none" w:sz="0" w:space="0" w:color="auto" w:frame="1"/>
        </w:rPr>
        <w:t>4,27 </w:t>
      </w:r>
      <w:r>
        <w:rPr>
          <w:color w:val="242424"/>
        </w:rPr>
        <w:t>млн. руб.;</w:t>
      </w:r>
    </w:p>
    <w:p w14:paraId="4407683D"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кредит в форме открытия не возобновляемой кредитной линии с </w:t>
      </w:r>
      <w:r>
        <w:rPr>
          <w:color w:val="242424"/>
          <w:bdr w:val="none" w:sz="0" w:space="0" w:color="auto" w:frame="1"/>
        </w:rPr>
        <w:t>                            </w:t>
      </w:r>
      <w:r>
        <w:rPr>
          <w:color w:val="242424"/>
        </w:rPr>
        <w:t>ПАО «Сбербанк России» в размере 0,00 млн. руб.</w:t>
      </w:r>
    </w:p>
    <w:p w14:paraId="6B36C3C0"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Нарушений графиков погашения задолженности по бюджетным кредитам не установлено.</w:t>
      </w:r>
    </w:p>
    <w:p w14:paraId="2F00838E"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За 1 квартал 2021 года расходы на заработную плату муниципальных служащих города Лермонтова составили 10 429,33 тыс. руб., при среднесписочной численности 137 человек. Фактические расходы на заработную плату работников муниципальных учреждений города Лермонтова составили 49 498,64 тыс. руб., при среднесписочной численности 855,5 человека.</w:t>
      </w:r>
    </w:p>
    <w:p w14:paraId="41C39A27" w14:textId="77777777" w:rsidR="000D43B5" w:rsidRDefault="000D43B5" w:rsidP="000D43B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7FDB385" w14:textId="77777777" w:rsidR="000D43B5" w:rsidRDefault="000D43B5" w:rsidP="000D43B5">
      <w:pPr>
        <w:shd w:val="clear" w:color="auto" w:fill="FFFFFF"/>
        <w:spacing w:after="150" w:line="238" w:lineRule="atLeast"/>
        <w:jc w:val="both"/>
        <w:rPr>
          <w:rFonts w:ascii="Arial" w:hAnsi="Arial" w:cs="Arial"/>
          <w:color w:val="242424"/>
          <w:sz w:val="20"/>
          <w:szCs w:val="20"/>
        </w:rPr>
      </w:pPr>
      <w:r>
        <w:rPr>
          <w:b/>
          <w:bCs/>
          <w:color w:val="242424"/>
        </w:rPr>
        <w:t>ВЫВОДЫ:</w:t>
      </w:r>
    </w:p>
    <w:p w14:paraId="2ADCB7A1" w14:textId="77777777" w:rsidR="000D43B5" w:rsidRDefault="000D43B5" w:rsidP="000D43B5">
      <w:pPr>
        <w:shd w:val="clear" w:color="auto" w:fill="FFFFFF"/>
        <w:spacing w:after="150" w:line="238" w:lineRule="atLeast"/>
        <w:jc w:val="both"/>
        <w:rPr>
          <w:rFonts w:ascii="Arial" w:hAnsi="Arial" w:cs="Arial"/>
          <w:color w:val="242424"/>
          <w:sz w:val="20"/>
          <w:szCs w:val="20"/>
        </w:rPr>
      </w:pPr>
      <w:r>
        <w:rPr>
          <w:color w:val="242424"/>
        </w:rPr>
        <w:t> </w:t>
      </w:r>
    </w:p>
    <w:p w14:paraId="707D6BCF" w14:textId="77777777" w:rsidR="000D43B5" w:rsidRDefault="000D43B5" w:rsidP="000D43B5">
      <w:pPr>
        <w:pStyle w:val="31"/>
        <w:shd w:val="clear" w:color="auto" w:fill="FFFFFF"/>
        <w:spacing w:after="0" w:line="238" w:lineRule="atLeast"/>
        <w:rPr>
          <w:rFonts w:ascii="Arial" w:hAnsi="Arial" w:cs="Arial"/>
          <w:color w:val="242424"/>
          <w:sz w:val="20"/>
          <w:szCs w:val="20"/>
        </w:rPr>
      </w:pPr>
      <w:r>
        <w:rPr>
          <w:color w:val="242424"/>
          <w:bdr w:val="none" w:sz="0" w:space="0" w:color="auto" w:frame="1"/>
        </w:rPr>
        <w:t>         Рассмотрев отчет об исполнении бюджета города Лермонтова  за 1 квартал 2021 года, контрольно-счетная палата города Лермонтова отмечает:</w:t>
      </w:r>
    </w:p>
    <w:p w14:paraId="169DD99D" w14:textId="77777777" w:rsidR="000D43B5" w:rsidRDefault="000D43B5" w:rsidP="000D43B5">
      <w:pPr>
        <w:pStyle w:val="a5"/>
        <w:shd w:val="clear" w:color="auto" w:fill="FFFFFF"/>
        <w:spacing w:before="0" w:beforeAutospacing="0" w:after="0" w:afterAutospacing="0" w:line="238" w:lineRule="atLeast"/>
        <w:ind w:left="1146"/>
        <w:jc w:val="both"/>
        <w:rPr>
          <w:rFonts w:ascii="Arial" w:hAnsi="Arial" w:cs="Arial"/>
          <w:color w:val="242424"/>
          <w:sz w:val="20"/>
          <w:szCs w:val="20"/>
        </w:rPr>
      </w:pPr>
      <w:r>
        <w:rPr>
          <w:color w:val="FF0000"/>
          <w:bdr w:val="none" w:sz="0" w:space="0" w:color="auto" w:frame="1"/>
        </w:rPr>
        <w:t> </w:t>
      </w:r>
    </w:p>
    <w:p w14:paraId="40B227CA" w14:textId="77777777" w:rsidR="000D43B5" w:rsidRDefault="000D43B5" w:rsidP="000D43B5">
      <w:pPr>
        <w:pStyle w:val="a5"/>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1. 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118,52 тыс. руб., расходная на 11,03 млн.руб. С учетом изменений плановых показателей бюджета города, был создан дефицит – 16,3 млн. руб.</w:t>
      </w:r>
    </w:p>
    <w:p w14:paraId="0DAD3C5D" w14:textId="77777777" w:rsidR="000D43B5" w:rsidRDefault="000D43B5" w:rsidP="000D43B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49F1764E" w14:textId="77777777" w:rsidR="000D43B5" w:rsidRDefault="000D43B5" w:rsidP="000D43B5">
      <w:pPr>
        <w:pStyle w:val="a5"/>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2. Фактически за 1 квартал 2021 года поступило доходов в размере</w:t>
      </w:r>
      <w:r>
        <w:rPr>
          <w:color w:val="242424"/>
          <w:bdr w:val="none" w:sz="0" w:space="0" w:color="auto" w:frame="1"/>
        </w:rPr>
        <w:t>                                </w:t>
      </w:r>
      <w:r>
        <w:rPr>
          <w:color w:val="242424"/>
        </w:rPr>
        <w:t>211,1 млн руб., что составляет 103,48% от плановых назначений.</w:t>
      </w:r>
    </w:p>
    <w:p w14:paraId="4F5462DB" w14:textId="77777777" w:rsidR="000D43B5" w:rsidRDefault="000D43B5" w:rsidP="000D43B5">
      <w:pPr>
        <w:shd w:val="clear" w:color="auto" w:fill="FFFFFF"/>
        <w:spacing w:after="150" w:line="238" w:lineRule="atLeast"/>
        <w:jc w:val="both"/>
        <w:rPr>
          <w:rFonts w:ascii="Arial" w:hAnsi="Arial" w:cs="Arial"/>
          <w:color w:val="242424"/>
          <w:sz w:val="20"/>
          <w:szCs w:val="20"/>
        </w:rPr>
      </w:pPr>
      <w:r>
        <w:rPr>
          <w:color w:val="242424"/>
        </w:rPr>
        <w:t>Безвозмездные поступления поступили в пределах назначений, предусмотренных кассовым планом в размере 161,24 млн. руб.</w:t>
      </w:r>
    </w:p>
    <w:p w14:paraId="73614133" w14:textId="77777777" w:rsidR="000D43B5" w:rsidRDefault="000D43B5" w:rsidP="000D43B5">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FF0000"/>
          <w:bdr w:val="none" w:sz="0" w:space="0" w:color="auto" w:frame="1"/>
        </w:rPr>
        <w:t> </w:t>
      </w:r>
    </w:p>
    <w:p w14:paraId="750F32F7" w14:textId="77777777" w:rsidR="000D43B5" w:rsidRDefault="000D43B5" w:rsidP="000D43B5">
      <w:pPr>
        <w:pStyle w:val="a5"/>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3. Фактическое исполнение по расходам за 1 квартал 2021 года составило 92,06% от плановых назначений. При плановых назначениях в размере </w:t>
      </w:r>
      <w:r>
        <w:rPr>
          <w:color w:val="242424"/>
          <w:bdr w:val="none" w:sz="0" w:space="0" w:color="auto" w:frame="1"/>
        </w:rPr>
        <w:t>                              </w:t>
      </w:r>
      <w:r>
        <w:rPr>
          <w:color w:val="242424"/>
        </w:rPr>
        <w:t>203,37 млн.руб. фактически произведено расходов на 187,22 млн. руб. Остаток неиспользованных ассигнований – 16,14 млн. руб. или 7,94% от запланированного, за аналогичный период прошлого года 25,66 млн. руб. или 13,3%.</w:t>
      </w:r>
    </w:p>
    <w:p w14:paraId="63232E3B" w14:textId="77777777" w:rsidR="000D43B5" w:rsidRDefault="000D43B5" w:rsidP="000D43B5">
      <w:pPr>
        <w:shd w:val="clear" w:color="auto" w:fill="FFFFFF"/>
        <w:spacing w:after="150" w:line="238" w:lineRule="atLeast"/>
        <w:jc w:val="both"/>
        <w:rPr>
          <w:rFonts w:ascii="Arial" w:hAnsi="Arial" w:cs="Arial"/>
          <w:color w:val="242424"/>
          <w:sz w:val="20"/>
          <w:szCs w:val="20"/>
        </w:rPr>
      </w:pPr>
      <w:r>
        <w:rPr>
          <w:color w:val="242424"/>
        </w:rPr>
        <w:t> </w:t>
      </w:r>
    </w:p>
    <w:p w14:paraId="57B17B0D" w14:textId="77777777" w:rsidR="000D43B5" w:rsidRDefault="000D43B5" w:rsidP="000D43B5">
      <w:pPr>
        <w:shd w:val="clear" w:color="auto" w:fill="FFFFFF"/>
        <w:spacing w:after="150" w:line="238" w:lineRule="atLeast"/>
        <w:jc w:val="both"/>
        <w:rPr>
          <w:rFonts w:ascii="Arial" w:hAnsi="Arial" w:cs="Arial"/>
          <w:color w:val="242424"/>
          <w:sz w:val="20"/>
          <w:szCs w:val="20"/>
        </w:rPr>
      </w:pPr>
      <w:r>
        <w:rPr>
          <w:color w:val="242424"/>
        </w:rPr>
        <w:t>Председатель контрольно-счетной</w:t>
      </w:r>
    </w:p>
    <w:p w14:paraId="4ECA97F5" w14:textId="77777777" w:rsidR="000D43B5" w:rsidRDefault="000D43B5" w:rsidP="000D43B5">
      <w:pPr>
        <w:shd w:val="clear" w:color="auto" w:fill="FFFFFF"/>
        <w:spacing w:line="238" w:lineRule="atLeast"/>
        <w:jc w:val="both"/>
        <w:rPr>
          <w:rFonts w:ascii="Arial" w:hAnsi="Arial" w:cs="Arial"/>
          <w:color w:val="242424"/>
          <w:sz w:val="20"/>
          <w:szCs w:val="20"/>
        </w:rPr>
      </w:pPr>
      <w:r>
        <w:rPr>
          <w:color w:val="242424"/>
        </w:rPr>
        <w:t>палаты города Лермонтова</w:t>
      </w:r>
      <w:r>
        <w:rPr>
          <w:color w:val="242424"/>
          <w:bdr w:val="none" w:sz="0" w:space="0" w:color="auto" w:frame="1"/>
        </w:rPr>
        <w:t>                                                               </w:t>
      </w:r>
      <w:r>
        <w:rPr>
          <w:color w:val="242424"/>
        </w:rPr>
        <w:t>А.С.Бондарев</w:t>
      </w:r>
    </w:p>
    <w:p w14:paraId="086727A6" w14:textId="2587AF51" w:rsidR="002A46BD" w:rsidRPr="000D43B5" w:rsidRDefault="002A46BD" w:rsidP="000D43B5">
      <w:bookmarkStart w:id="0" w:name="_GoBack"/>
      <w:bookmarkEnd w:id="0"/>
    </w:p>
    <w:sectPr w:rsidR="002A46BD" w:rsidRPr="000D4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B56C2"/>
    <w:rsid w:val="000D43B5"/>
    <w:rsid w:val="000E6465"/>
    <w:rsid w:val="00244B1A"/>
    <w:rsid w:val="002A46BD"/>
    <w:rsid w:val="00417777"/>
    <w:rsid w:val="00524A16"/>
    <w:rsid w:val="005956B0"/>
    <w:rsid w:val="005C7061"/>
    <w:rsid w:val="0067683F"/>
    <w:rsid w:val="007378E3"/>
    <w:rsid w:val="00746341"/>
    <w:rsid w:val="00832060"/>
    <w:rsid w:val="008B677D"/>
    <w:rsid w:val="009402ED"/>
    <w:rsid w:val="00A4628B"/>
    <w:rsid w:val="00B176B8"/>
    <w:rsid w:val="00B443FE"/>
    <w:rsid w:val="00B62FCC"/>
    <w:rsid w:val="00B8204E"/>
    <w:rsid w:val="00D8179C"/>
    <w:rsid w:val="00D8498F"/>
    <w:rsid w:val="00DE1F30"/>
    <w:rsid w:val="00E80287"/>
    <w:rsid w:val="00EA6AD2"/>
    <w:rsid w:val="00EB03E4"/>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2552</Words>
  <Characters>14547</Characters>
  <Application>Microsoft Office Word</Application>
  <DocSecurity>0</DocSecurity>
  <Lines>121</Lines>
  <Paragraphs>34</Paragraphs>
  <ScaleCrop>false</ScaleCrop>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dcterms:created xsi:type="dcterms:W3CDTF">2023-08-25T11:44:00Z</dcterms:created>
  <dcterms:modified xsi:type="dcterms:W3CDTF">2023-08-25T12:42:00Z</dcterms:modified>
</cp:coreProperties>
</file>