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CC0AB" w14:textId="77777777" w:rsidR="004B7DC6" w:rsidRPr="004B7DC6" w:rsidRDefault="004B7DC6" w:rsidP="004B7DC6">
      <w:pPr>
        <w:shd w:val="clear" w:color="auto" w:fill="FFFFFF"/>
        <w:spacing w:after="15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</w:t>
      </w:r>
    </w:p>
    <w:p w14:paraId="3B98675E" w14:textId="77777777" w:rsidR="004B7DC6" w:rsidRPr="004B7DC6" w:rsidRDefault="004B7DC6" w:rsidP="004B7DC6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Контрольно-счетной палаты города Лермонтова на проект муниципальной программы города Лермонтова «Социальная поддержка граждан города Лермонтова»</w:t>
      </w:r>
    </w:p>
    <w:p w14:paraId="60C255BE" w14:textId="77777777" w:rsidR="004B7DC6" w:rsidRPr="004B7DC6" w:rsidRDefault="004B7DC6" w:rsidP="004B7DC6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A6036A3" w14:textId="77777777" w:rsidR="004B7DC6" w:rsidRPr="004B7DC6" w:rsidRDefault="004B7DC6" w:rsidP="004B7DC6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 22 октября 2015 года                                                                  г. Лермонтов     </w:t>
      </w:r>
    </w:p>
    <w:p w14:paraId="781CD22B" w14:textId="77777777" w:rsidR="004B7DC6" w:rsidRPr="004B7DC6" w:rsidRDefault="004B7DC6" w:rsidP="004B7DC6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4B7BC5A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 Настоящее экспертное заключение подготовлено Контрольно-счетной палатой в соответствии с абз. 3 п. 2 статьи 157 БК РФ, п.п 2 п.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п.7 статьи 8 Положения о контрольно-счетной палате города Лермонтова,  утвержденного решением Совета города Лермонтова от 27.03.2013 № 22.       </w:t>
      </w:r>
    </w:p>
    <w:p w14:paraId="17C17E92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 В Контрольно-счетную палату для проведения экспертизы проекта муниципальной программы поступили следующие документы:</w:t>
      </w:r>
    </w:p>
    <w:p w14:paraId="75217184" w14:textId="77777777" w:rsidR="004B7DC6" w:rsidRPr="004B7DC6" w:rsidRDefault="004B7DC6" w:rsidP="004B7DC6">
      <w:pPr>
        <w:shd w:val="clear" w:color="auto" w:fill="FFFFFF"/>
        <w:spacing w:after="0" w:line="238" w:lineRule="atLeast"/>
        <w:ind w:left="928" w:hanging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Проект муниципальной программы «Социальная поддержка граждан города Лермонтова» (титульный лист Программы утвержден постановлением администрации города Лермонтова от 01.10.2013 № 1174).</w:t>
      </w:r>
    </w:p>
    <w:p w14:paraId="1F0CC3ED" w14:textId="77777777" w:rsidR="004B7DC6" w:rsidRPr="004B7DC6" w:rsidRDefault="004B7DC6" w:rsidP="004B7DC6">
      <w:pPr>
        <w:shd w:val="clear" w:color="auto" w:fill="FFFFFF"/>
        <w:spacing w:after="150" w:line="238" w:lineRule="atLeast"/>
        <w:ind w:left="92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7C50F06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      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Проект муниципальной программы «Социальная поддержка граждан города Лермонтова» (далее Программа) представлен в контрольно-счетную палату города Лермонтова администрацией города в срок,</w:t>
      </w:r>
      <w:r w:rsidRPr="004B7DC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установленный пунктом 2.7 Раздела 2 Порядка разработки, реализации и оценки эффективности муниципальных программ города Лермонтова Ставропольского края, представленного проекта постановления администрации города Лермонтова «О порядке разработки, реализации и оценке эффективности муниципальных программ».</w:t>
      </w:r>
    </w:p>
    <w:p w14:paraId="6DDE2E4C" w14:textId="77777777" w:rsidR="004B7DC6" w:rsidRPr="004B7DC6" w:rsidRDefault="004B7DC6" w:rsidP="004B7DC6">
      <w:pPr>
        <w:shd w:val="clear" w:color="auto" w:fill="FFFFFF"/>
        <w:spacing w:after="150" w:line="238" w:lineRule="atLeast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Экспертиза проведена на предмет соответствия данного проекта постановления:</w:t>
      </w:r>
    </w:p>
    <w:p w14:paraId="7FA300A2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 - Бюджетному Кодексу Российской Федерации (далее – БК РФ);</w:t>
      </w:r>
    </w:p>
    <w:p w14:paraId="2B5C3DC4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- постановлению администрации города Лермонтова от 03.09.2013 г. № 1027 (в редакции  постановления  администрации города Лермонтова от 18.09.2015г. № 953) «О порядке разработки, реализации и оценке эффективности муниципальных программ» (далее – Порядок);</w:t>
      </w:r>
    </w:p>
    <w:p w14:paraId="0CBA45DF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 - постановлению администрации города Лермонтова от 07.10.2013 г. № 1307 (в редакции постановления  администрации города Лермонтова от 18.09.2015 г. № 951) «Об утверждении методических указаний по разработке и реализации муниципальных программ города Лермонтова» (далее – Методические указания).</w:t>
      </w:r>
    </w:p>
    <w:p w14:paraId="6117424B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</w:t>
      </w:r>
    </w:p>
    <w:p w14:paraId="54571F9F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ходе проведения экспертизы контрольно-счетной палатой  учитывались нормативно-правовые  и нормативные  акты: Закон Ставропольского края от 11.12.2009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граждан»; Закон Ставропольского края от 15.02.2013 № 10-кз «О наделении органов местного 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самоуправления городского округа Ставропольского края города Лермонтова отдельными государственными полномочиями Ставропольского края в сфере охраны здоровья граждан»  (далее  - Закон № 10-кз); постановление Правительства Ставропольского края от 29.12.2012 № 559-п «Об утверждении государственной программы Ставропольского края «Социальная поддержка граждан».</w:t>
      </w:r>
    </w:p>
    <w:p w14:paraId="2D64F194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</w:t>
      </w:r>
    </w:p>
    <w:p w14:paraId="149473F0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нарушение пункта 2.4 Раздела 2 «Разработка проекта программы и ее структура» Методических указаний в составе материалов, представляемых с проектом Программы, не представлен проект нормативного правового акта администрации города Лермонтова «Об утверждении муниципальной программы города Лермонтова «Социальная поддержка граждан города Лермонтова».</w:t>
      </w:r>
    </w:p>
    <w:p w14:paraId="1E30885E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</w:t>
      </w:r>
    </w:p>
    <w:p w14:paraId="46EC513E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нарушение пункта 8.1 Раздела 8 Методических указаний одновременно с проектом не представлены обоснования планируемых объемов ресурсов на реализацию программы (подпрограмм).</w:t>
      </w:r>
    </w:p>
    <w:p w14:paraId="72F5A238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</w:t>
      </w:r>
    </w:p>
    <w:p w14:paraId="545D315C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Проект  Программы разработан в соответствии с Перечнем муниципальных программ города Лермонтова, утвержденным распоряжение администрации города Лермонтова от 15.09.2015 № 122-р и направлен на реализацию социальной политики города Лермонтова.</w:t>
      </w:r>
    </w:p>
    <w:p w14:paraId="163B695F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04617EA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Контрольно-счетная палата обращает внимание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сроки реализации проектов всех муниципальных программ города Лермонтова 2016 – 2021 годы, а срок реализации программы «Социальная поддержка граждан города Лермонтова»  2014-2017 годы. В соответствии с  п. 1.6 Порядка </w:t>
      </w:r>
      <w:r w:rsidRPr="004B7D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Программа разрабатывается каждые 3 года </w:t>
      </w:r>
      <w:r w:rsidRPr="004B7D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сроком на 6 лет</w:t>
      </w:r>
      <w:r w:rsidRPr="004B7D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1C101A8A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</w:t>
      </w:r>
    </w:p>
    <w:p w14:paraId="30D6F242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Ответственным исполнителем Программы является администрация города Лермонтова.</w:t>
      </w:r>
    </w:p>
    <w:p w14:paraId="411892D6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</w:t>
      </w:r>
    </w:p>
    <w:p w14:paraId="66C5F2CF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Соисполнители Программы: управление труда и социальной защиты населения администрации города Лермонтова, отдел образования администрации города Лермонтова, отдел культуры администрации города Лермонтова, финансовое управление администрации города Лермонтова, управление имущественных отношений администрации города Лермонтова.</w:t>
      </w:r>
    </w:p>
    <w:p w14:paraId="5300CB96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 В нарушение пункта 1.2  Раздела 1 Методических указаний в проекте программы и в проектах подпрограмм  в качестве соисполнителей также указаны Совет города Лермонтова, государственное бюджетное учреждение социального обслуживания «Лермонтовский комплексный центр социального обслуживания населения», Федеральное государственное бюджетное учреждение здравоохранения «Клиническая больница № 101 Федерального медико-биологического агентства».</w:t>
      </w:r>
    </w:p>
    <w:p w14:paraId="608F11E8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</w:t>
      </w:r>
    </w:p>
    <w:p w14:paraId="6BAED801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паспорте проекта программы установлены нарушения пункта 3.1</w:t>
      </w:r>
      <w:r w:rsidRPr="004B7DC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Методических указаний (Приложение 9):</w:t>
      </w:r>
    </w:p>
    <w:p w14:paraId="2DA19FB1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  не указаны  Участники программы;</w:t>
      </w:r>
    </w:p>
    <w:p w14:paraId="2C78108F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  определены Задачи программы.</w:t>
      </w:r>
    </w:p>
    <w:p w14:paraId="15200DD3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</w:t>
      </w:r>
    </w:p>
    <w:p w14:paraId="09BF2342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паспортах подпрограмм установлены нарушения пункта 7.1</w:t>
      </w:r>
      <w:r w:rsidRPr="004B7DC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Методических указаний (Приложение 10):</w:t>
      </w:r>
    </w:p>
    <w:p w14:paraId="04B85905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- не указаны участники подпрограмм;</w:t>
      </w:r>
    </w:p>
    <w:p w14:paraId="2F3BD794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установлены цели подпрограмм;</w:t>
      </w:r>
    </w:p>
    <w:p w14:paraId="25CA1C8A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указаны целевые индикаторы и показатели подпрограмм, вместо показателей решения задач подпрограмм;</w:t>
      </w:r>
    </w:p>
    <w:p w14:paraId="55B59074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не указаны сроки реализации подпрограмм.</w:t>
      </w:r>
    </w:p>
    <w:p w14:paraId="3173A66E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CC4A034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Проект Программы состоит из четырех подпрограмм:</w:t>
      </w:r>
    </w:p>
    <w:p w14:paraId="5E42C75A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«Меры социальной поддержки и социальное обслуживание населения города Лермонтова» (далее - Подпрограмма 1);</w:t>
      </w:r>
    </w:p>
    <w:p w14:paraId="42E6A714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«Меры социальной поддержки граждан города Лермонтова в области здравоохранения» (далее - Подпрограмма 2); ;</w:t>
      </w:r>
    </w:p>
    <w:p w14:paraId="25A48CE0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«Обеспечение жильем молодых семей в городе Лермонтове» (далее - Подпрограмма 3);</w:t>
      </w:r>
    </w:p>
    <w:p w14:paraId="34BD225A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«Обеспечение реализации программы «Социальная поддержка граждан города Лермонтова» и общепрограммные мероприятия» (далее - Подпрограмма 4).</w:t>
      </w:r>
    </w:p>
    <w:p w14:paraId="56DB9A48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1BA8FDA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 пунктом 4.3 Методических указаний цель проекта Программы (подпрограммы) должна быть краткой и ясной, цель должна быть измеримой, достижимой за период реализации муниципальной программы, соответствовать сфере реализации муниципальной программы. Цели, определённые проектом Программы в целом, способствуют решению поставленной проблеме. Тем не менее, в 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представленном проекте цель программы 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сформулирована очень длинно (громоздко), осложнена дополнительными уточнениями в виде описания путей, средств и методов ее достижения.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Данные уточнения подходят для формулирования задач подпрограмм, но не для цели муниципальной программы.  Цель должна характеризовать ожидаемый конечный результат.</w:t>
      </w:r>
    </w:p>
    <w:p w14:paraId="2D2D73EA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</w:p>
    <w:p w14:paraId="43C4AA0E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Представленные в проекте программы задачи подпрограммы должны  отражать конечный результат.</w:t>
      </w:r>
      <w:r w:rsidRPr="004B7DC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Задачи Подпрограммы 1 «предоставление государственных и муниципальных услуг в области социальной защиты и социальной поддержки», «совершенствование форм социального обслуживания» отражают процесс, а не результат. В задаче «Создание условий для комфортного проживания ветеранов ВОВ» словосочетание «создание условий» невозможно измерить, оно не отражает конечного результата.</w:t>
      </w:r>
    </w:p>
    <w:p w14:paraId="6ABCB0F4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</w:t>
      </w:r>
    </w:p>
    <w:p w14:paraId="63DD609F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мероприятиях Программы отсутствуют направления расходов, что лишает программу прозрачности.</w:t>
      </w:r>
    </w:p>
    <w:p w14:paraId="3ED0A7C0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5C0517B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нарушение п. 7.4 Методических указаний задачи, предусмотренные   в паспортах подпрограмм, не соответствуют задачам, перечисленным в Таблице 2.</w:t>
      </w:r>
    </w:p>
    <w:p w14:paraId="1E02C8A2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6BD7A65F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Таблице 2 «Перечень основных мероприятий подпрограмм муниципальной Программы» ссылка на связь основного мероприятия 1.1.5 «Осуществление 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единовременных и(или) ежегодных 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денежных выплат, пособий, субсидий и компенсаций отдельным категориям граждан» противоречит целевому показателю «Численность детей, на которых назначено 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ежемесячное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пособие на ребенка» (п. 1.7). </w:t>
      </w:r>
    </w:p>
    <w:p w14:paraId="4B167B34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8815AEC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В соответствии с  пунктом 7.3 Методических указаний формулировка задачи не может совпадать с формулировкой мероприятия. Задача Подпрограммы 3 «предоставление молодым семьям – участникам Подпрограммы 3, социальных выплат на приобретение 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lastRenderedPageBreak/>
        <w:t>жилья экономического класса или строительство индивидуального жилого дома экономического класса» имеет такую же формулировку как мероприятие 3.1 «предоставление молодым семьям социальных выплат на приобретение (строительство) жилья».</w:t>
      </w:r>
    </w:p>
    <w:p w14:paraId="5589F230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</w:t>
      </w:r>
    </w:p>
    <w:p w14:paraId="281D0F34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Основные мероприятия Подпрограммы 3 имеют одинаковую формулировку:</w:t>
      </w:r>
    </w:p>
    <w:p w14:paraId="7DDD09B7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основное мероприятие 3.1 «Предоставление молодым семьям социальных выплат на приобретение (строительство) жилья;</w:t>
      </w:r>
    </w:p>
    <w:p w14:paraId="23CAAACB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основное мероприятие 3.2 «Предоставление социальных выплат для приобретения жилого помещения или строительства индивидуального жилого дома в утвержденных объемах финансирования».</w:t>
      </w:r>
    </w:p>
    <w:p w14:paraId="3106E438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06E1434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Текстовая часть Программы и Подпрограмм в представленном на экспертизу проекте не соответствует требованиям Методических указаний, так как изложена на основании недействующей редакции.                </w:t>
      </w:r>
    </w:p>
    <w:p w14:paraId="4A0A0341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D2BB1E5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Характеристика основных мероприятий, перечисленных в текстовой части подпрограмм, не соответствует перечню основных мероприятий Таблицы 2.</w:t>
      </w:r>
    </w:p>
    <w:p w14:paraId="1054A3DE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A1F30ED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В текстовой части проекта Программы имеются ссылки на Приложения (1, 2, 3), однако на проверку представлены Таблицы 1, 2, 3. Кроме того, таблицы составлены с нарушениями пункта 2.1 Методических указаний (Приложения 1, 2, 3).</w:t>
      </w:r>
    </w:p>
    <w:p w14:paraId="39A4AD32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</w:t>
      </w:r>
    </w:p>
    <w:p w14:paraId="7D951A5F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Представленное на экспертизу Приложение 5 «Порядок реализации подпрограммы 3 «Обеспечение жильем молодых семей в городе Лермонтове» не предусмотрено Методическими указаниями.  </w:t>
      </w:r>
    </w:p>
    <w:p w14:paraId="5C21AC17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2D3D8AF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Таблица 1 «</w:t>
      </w:r>
      <w:r w:rsidRPr="004B7DC6">
        <w:rPr>
          <w:rFonts w:ascii="Times New Roman" w:eastAsia="Times New Roman" w:hAnsi="Times New Roman" w:cs="Times New Roman"/>
          <w:caps/>
          <w:color w:val="242424"/>
          <w:sz w:val="24"/>
          <w:szCs w:val="24"/>
          <w:bdr w:val="none" w:sz="0" w:space="0" w:color="auto" w:frame="1"/>
          <w:lang w:eastAsia="ru-RU"/>
        </w:rPr>
        <w:t>С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ведения</w:t>
      </w:r>
      <w:r w:rsidRPr="004B7DC6">
        <w:rPr>
          <w:rFonts w:ascii="Times New Roman" w:eastAsia="Times New Roman" w:hAnsi="Times New Roman" w:cs="Times New Roman"/>
          <w:caps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 индикаторах достижения целей муниципальной программы города Лермонтова и показателях решения задач подпрограмм программы, и их значениях» заполнена с нарушениями Методических указаний: отсутствуют индикаторы достижения целей программы (стоит многоточие); в графе 2 показатель решения задачи подпрограммы назван целевым индикатором, показателем.</w:t>
      </w:r>
    </w:p>
    <w:p w14:paraId="642C5B62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4BAA615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Показатель решения задачи Подпрограммы 1 «Доля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 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с законодательством РФ и Ставропольского края, законодательными актами органа местного самоуправления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 (п. 1.3) следует сформулировать следующим образом  «Доля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 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с законодательными актами органа местного самоуправления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».</w:t>
      </w:r>
    </w:p>
    <w:p w14:paraId="5782212F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63FF2B3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Целевой индикатор Подпрограммы 2 «Уровень обеспеченности 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беременных женщин и кормящих матерей бесплатным питанием по назначению врача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 (п. 2.4) дублирует показатель «Уровень обеспеченности детей в возрасте до трех лет, 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беременных женщин и кормящих матерей полноценным питанием по назначению врача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 (п. 2.2).</w:t>
      </w:r>
    </w:p>
    <w:p w14:paraId="4E4E82B6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 </w:t>
      </w:r>
    </w:p>
    <w:p w14:paraId="34F9571C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Формулировка показателя  «Численность ветеранов ВОВ, имеющих право на выплату ко дню Победы» (п. 1.4) некорректна (численность ветеранов уменьшается ежегодно) и не может быть показателем для решения задачи по реализации мер социальной поддержки ветеранов ВОВ.</w:t>
      </w:r>
    </w:p>
    <w:p w14:paraId="5C8FA297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D5D5765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Отсутствует показатель решения задачи Подпрограммы 1 «Совершенствование форм социального обслуживания».</w:t>
      </w:r>
    </w:p>
    <w:p w14:paraId="50EE7DAE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8585AB2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Не указано значение целевого индикатора «Количество детей с туберкулезной интоксикацией, подлежащих обеспечению питанием в детском дошкольном образовательном учреждении» (п. 2.5).</w:t>
      </w:r>
    </w:p>
    <w:p w14:paraId="209C3A61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4785B4E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Таблице 1 два наименования индикатора имеют одинаковую нумерацию (п. 2.2).</w:t>
      </w:r>
    </w:p>
    <w:p w14:paraId="38537E6D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</w:p>
    <w:p w14:paraId="7625F330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 пунктом 3.1 Порядка одним из принципов формирования муниципальных программ является установление измеримых результатов их реализации. Вместе с тем, динамика и состав целевых показателей проекта Программы не в полной мере отражает результативность и качество реализации задач, предусмотренных проектом Программы в сфере социальной поддержки граждан.</w:t>
      </w:r>
    </w:p>
    <w:p w14:paraId="28EF5F3E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2258918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пунктах 1.6, 2.1 – 2.6, 3.2 Таблицы 1  динамики повышения либо снижения значений целевых показателей не наблюдается, что свидетельствует об отсутствии статистики и возможности определения количества граждан,  действительно нуждающихся в социальной поддержке.</w:t>
      </w:r>
    </w:p>
    <w:p w14:paraId="750920B4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A388211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Прогнозируемый объем финансовых средств на реализацию Программы составляет 832 568,37 тыс. рублей: средства федерального бюджета – 140 951,40 тыс. рублей, средства краевого бюджета – 672 112 ,70 тыс. рублей, в том числе сюда входят ассигнования 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за прошедший период 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(2014-2015 годы).</w:t>
      </w:r>
    </w:p>
    <w:p w14:paraId="64E2AD80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726F3EB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Финансовое обеспечение Программы за счет средств бюджета города Лермонтова соответствует объемам бюджетных ассигнований, утвержденных решением о бюджете на 2015 год и плановый период 2016 и 2017 годов.  </w:t>
      </w:r>
    </w:p>
    <w:p w14:paraId="5C687834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</w:t>
      </w:r>
    </w:p>
    <w:p w14:paraId="2ED84A11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Средства бюджета города Лермонтова, предусмотренные на реализацию Программы, с 2017 по 2021 годы распределены по годам равномерно, что свидетельствует о том, что финансирование в недостаточной степени привязано к конкретным мероприятиям, а разделено механическим путем.</w:t>
      </w:r>
    </w:p>
    <w:p w14:paraId="3A9E4C96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</w:t>
      </w:r>
    </w:p>
    <w:p w14:paraId="65ECEB3C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В представленных, по запросу Контрольно-счетной палаты,  обоснованиях объемов финансирования отсутствуют финансово-экономические обоснования расходов на реализацию подпрограмм, которые должны быть определены расчетным путем по каждому мероприятию (сметы расходов, расчеты и другие показатели в соответствии со спецификой Программы). Объем финансирования Программы планируется по фактическому расходу за предыдущие годы. При отсутствии в представленных материалах расчетов затрат по 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подпрограммным мероприятиям невозможно оценить достоверность приведенных объемов финансирования Программы в целом.</w:t>
      </w:r>
    </w:p>
    <w:p w14:paraId="4D094758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</w:p>
    <w:p w14:paraId="7802E00B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По основному мероприятию 2.1 «Осуществление частичного финансирования расходов граждан города Лермонтова в области здравоохранения» Подпрограммы 2 муниципальной программы города Лермонтова «Социальная поддержка граждан города Лермонтова» планируется, в том числе, следующее направление расходов на 2017 - 2021 годы:</w:t>
      </w:r>
    </w:p>
    <w:p w14:paraId="215A0779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обеспечение бесплатным детским питанием детей первого года жизни, находящихся на искусственном вскармливании, по назначению врача в сумме 500,00 тыс. рублей в год;</w:t>
      </w:r>
    </w:p>
    <w:p w14:paraId="15DD8201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совершенствование системы оказания медицинской помощи больным туберкулезом, находящимся на амбулаторном лечении, льготными медикаментами. Обеспечение туберкулином и шприцами для проведения туберкулинодиагностики в сумме 100,00 тыс. рублей в год;</w:t>
      </w:r>
    </w:p>
    <w:p w14:paraId="6DD11A0E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обеспечение больных сахарным диабетом инсулином и лекарственными средствами по назначению врача в сумме 200,00 тыс. рублей в год;</w:t>
      </w:r>
    </w:p>
    <w:p w14:paraId="09E1860C" w14:textId="77777777" w:rsidR="004B7DC6" w:rsidRPr="004B7DC6" w:rsidRDefault="004B7DC6" w:rsidP="004B7DC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комплексные меры противодействия употреблению наркотиками и их незаконному обороту в сумме 150,00 тыс. рублей в год.</w:t>
      </w:r>
    </w:p>
    <w:p w14:paraId="2BE030AF" w14:textId="77777777" w:rsidR="004B7DC6" w:rsidRPr="004B7DC6" w:rsidRDefault="004B7DC6" w:rsidP="004B7DC6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 В соответствии с  Законом Ставропольского края от 15.02.2013 № 10-кз «О наделении органов местного самоуправления городского округа Ставропольского края города Лермонтова отдельными государственными полномочиями Ставропольского края в сфере охраны здоровья граждан» финансовые средства, необходимые для осуществления отдельных государственных полномочий, перечисленных выше, ежегодно предусматриваются в законе Ставропольского края о бюджете Ставропольского края на очередной финансовый год и плановый период в форме субвенций.</w:t>
      </w:r>
    </w:p>
    <w:p w14:paraId="52B87780" w14:textId="77777777" w:rsidR="004B7DC6" w:rsidRPr="004B7DC6" w:rsidRDefault="004B7DC6" w:rsidP="004B7DC6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 Федеральным законом от 08.01.1998 № 3-ФЗ «О наркотических средствах и психотропных веществах» противодействие незаконному обороту наркотических средств, психотропных веществ и их прекурсоров осуществляют федеральные органы исполнительной власти в пределах предоставленных им Правительством Российской Федерации полномочий.</w:t>
      </w:r>
    </w:p>
    <w:p w14:paraId="09CD3FBF" w14:textId="77777777" w:rsidR="004B7DC6" w:rsidRPr="004B7DC6" w:rsidRDefault="004B7DC6" w:rsidP="004B7DC6">
      <w:pPr>
        <w:shd w:val="clear" w:color="auto" w:fill="FFFFFF"/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Следует исключить возможность дублирования социальной помощи</w:t>
      </w:r>
      <w:r w:rsidRPr="004B7D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гражданам из разных источников финансирования</w:t>
      </w:r>
      <w:r w:rsidRPr="004B7D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(бюджет СК, местный бюджет).</w:t>
      </w:r>
    </w:p>
    <w:p w14:paraId="2213387D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На основании вышеизложенного Контрольно-счетная палата города Лермонтова отмечает:</w:t>
      </w:r>
    </w:p>
    <w:p w14:paraId="566ACC6E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– качество подготовки проекта Программы не в полной мере 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города Лермонтова;</w:t>
      </w:r>
    </w:p>
    <w:p w14:paraId="5A317A91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–– проект Программы нуждается в доработке в целях устранения указанных в настоящем заключении нарушений и недостатков.</w:t>
      </w:r>
    </w:p>
    <w:p w14:paraId="3737E804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После вступления в силу решения Совета города Лермонтова «О бюджете города Лермонтова на 2016 год и плановый период 2017 и 2018 годов» в силу требований статьи 179 Бюджетного кодекса Российской Федерации муниципальная программа города Лермонтова «Социальная поддержка граждан города Лермонтова» подлежит приведению в соответствие с указанным решением.</w:t>
      </w:r>
    </w:p>
    <w:p w14:paraId="76CCA509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3E44454" w14:textId="77777777" w:rsidR="004B7DC6" w:rsidRPr="004B7DC6" w:rsidRDefault="004B7DC6" w:rsidP="004B7DC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Инспектор Контрольно-счетной</w:t>
      </w:r>
    </w:p>
    <w:p w14:paraId="071E2050" w14:textId="77777777" w:rsidR="004B7DC6" w:rsidRPr="004B7DC6" w:rsidRDefault="004B7DC6" w:rsidP="004B7DC6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B7D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   города Лермонтова                                                                 С.А.Ропай</w:t>
      </w:r>
    </w:p>
    <w:p w14:paraId="5513B241" w14:textId="77777777" w:rsidR="00F153E7" w:rsidRPr="004B7DC6" w:rsidRDefault="00F153E7" w:rsidP="004B7DC6">
      <w:bookmarkStart w:id="0" w:name="_GoBack"/>
      <w:bookmarkEnd w:id="0"/>
    </w:p>
    <w:sectPr w:rsidR="00F153E7" w:rsidRPr="004B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0C674E"/>
    <w:rsid w:val="0016745A"/>
    <w:rsid w:val="00185085"/>
    <w:rsid w:val="001A7916"/>
    <w:rsid w:val="001B639E"/>
    <w:rsid w:val="001C7D2F"/>
    <w:rsid w:val="001E16F3"/>
    <w:rsid w:val="00264B6E"/>
    <w:rsid w:val="00383F71"/>
    <w:rsid w:val="00396486"/>
    <w:rsid w:val="003D057D"/>
    <w:rsid w:val="003D0967"/>
    <w:rsid w:val="003F1F95"/>
    <w:rsid w:val="004138EB"/>
    <w:rsid w:val="0042096C"/>
    <w:rsid w:val="00433DCB"/>
    <w:rsid w:val="00435149"/>
    <w:rsid w:val="00456865"/>
    <w:rsid w:val="00495AF7"/>
    <w:rsid w:val="004B7DC6"/>
    <w:rsid w:val="004C1A2F"/>
    <w:rsid w:val="004D5050"/>
    <w:rsid w:val="00581236"/>
    <w:rsid w:val="00583EAA"/>
    <w:rsid w:val="005B2931"/>
    <w:rsid w:val="006559DC"/>
    <w:rsid w:val="006808FE"/>
    <w:rsid w:val="006B1FE1"/>
    <w:rsid w:val="0073767C"/>
    <w:rsid w:val="007F73D3"/>
    <w:rsid w:val="008154EB"/>
    <w:rsid w:val="008212BD"/>
    <w:rsid w:val="008E3AA2"/>
    <w:rsid w:val="00922CDC"/>
    <w:rsid w:val="00936926"/>
    <w:rsid w:val="009725A4"/>
    <w:rsid w:val="009768EF"/>
    <w:rsid w:val="00991DAE"/>
    <w:rsid w:val="009B725C"/>
    <w:rsid w:val="009E57C9"/>
    <w:rsid w:val="009E6AFB"/>
    <w:rsid w:val="009E70FD"/>
    <w:rsid w:val="009F0F04"/>
    <w:rsid w:val="00A5744D"/>
    <w:rsid w:val="00A71B74"/>
    <w:rsid w:val="00A82DA0"/>
    <w:rsid w:val="00A975AA"/>
    <w:rsid w:val="00AA3506"/>
    <w:rsid w:val="00AB10DE"/>
    <w:rsid w:val="00AF1190"/>
    <w:rsid w:val="00B564CB"/>
    <w:rsid w:val="00BA4D91"/>
    <w:rsid w:val="00BD1E6D"/>
    <w:rsid w:val="00BD4B4B"/>
    <w:rsid w:val="00BE4054"/>
    <w:rsid w:val="00BE7194"/>
    <w:rsid w:val="00C60627"/>
    <w:rsid w:val="00CF7C8C"/>
    <w:rsid w:val="00D14C4A"/>
    <w:rsid w:val="00D36666"/>
    <w:rsid w:val="00D54B07"/>
    <w:rsid w:val="00D60A1B"/>
    <w:rsid w:val="00D91AA3"/>
    <w:rsid w:val="00DA0EB7"/>
    <w:rsid w:val="00DF789E"/>
    <w:rsid w:val="00E03B2E"/>
    <w:rsid w:val="00E33638"/>
    <w:rsid w:val="00E475DF"/>
    <w:rsid w:val="00E71C85"/>
    <w:rsid w:val="00EC02FE"/>
    <w:rsid w:val="00EC1B61"/>
    <w:rsid w:val="00ED0589"/>
    <w:rsid w:val="00ED3D25"/>
    <w:rsid w:val="00EE588A"/>
    <w:rsid w:val="00F05205"/>
    <w:rsid w:val="00F07CB9"/>
    <w:rsid w:val="00F153E7"/>
    <w:rsid w:val="00F47CE4"/>
    <w:rsid w:val="00FB3C11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  <w:style w:type="paragraph" w:customStyle="1" w:styleId="style10">
    <w:name w:val="style10"/>
    <w:basedOn w:val="a"/>
    <w:rsid w:val="008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F0F0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0F04"/>
  </w:style>
  <w:style w:type="paragraph" w:styleId="aa">
    <w:name w:val="Body Text Indent"/>
    <w:basedOn w:val="a"/>
    <w:link w:val="ab"/>
    <w:uiPriority w:val="99"/>
    <w:semiHidden/>
    <w:unhideWhenUsed/>
    <w:rsid w:val="009F0F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F0F04"/>
  </w:style>
  <w:style w:type="character" w:styleId="ac">
    <w:name w:val="Strong"/>
    <w:basedOn w:val="a0"/>
    <w:uiPriority w:val="22"/>
    <w:qFormat/>
    <w:rsid w:val="009F0F04"/>
    <w:rPr>
      <w:b/>
      <w:bCs/>
    </w:rPr>
  </w:style>
  <w:style w:type="paragraph" w:customStyle="1" w:styleId="style3">
    <w:name w:val="style3"/>
    <w:basedOn w:val="a"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0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47CE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F1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1F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2450</Words>
  <Characters>13969</Characters>
  <Application>Microsoft Office Word</Application>
  <DocSecurity>0</DocSecurity>
  <Lines>116</Lines>
  <Paragraphs>32</Paragraphs>
  <ScaleCrop>false</ScaleCrop>
  <Company/>
  <LinksUpToDate>false</LinksUpToDate>
  <CharactersWithSpaces>16387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157</cp:revision>
  <dcterms:created xsi:type="dcterms:W3CDTF">2023-08-28T07:49:00Z</dcterms:created>
  <dcterms:modified xsi:type="dcterms:W3CDTF">2023-08-28T11:34:00Z</dcterms:modified>
</cp:coreProperties>
</file>