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Y="-389" w:topFromText="0" w:vertAnchor="margin"/>
        <w:tblW w:w="151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15"/>
        <w:gridCol w:w="5369"/>
      </w:tblGrid>
      <w:tr>
        <w:trPr>
          <w:trHeight w:val="379" w:hRule="atLeast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851" w:hanging="0"/>
              <w:jc w:val="center"/>
              <w:outlineLvl w:val="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2"/>
                <w:szCs w:val="28"/>
              </w:rPr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83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>
            <w:pPr>
              <w:pStyle w:val="Normal"/>
              <w:widowControl w:val="false"/>
              <w:spacing w:lineRule="exact" w:line="283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муниципальной программе города Лермонтова «Создание условий для эффективного использования муниципального имущества города Лермонтова», утвержденной постановлением администрации города Лермонтова</w:t>
            </w:r>
          </w:p>
          <w:p>
            <w:pPr>
              <w:pStyle w:val="Normal"/>
              <w:widowControl w:val="false"/>
              <w:spacing w:lineRule="exact" w:line="283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u w:val="single"/>
                <w:lang w:val="en-US" w:eastAsia="en-US"/>
              </w:rPr>
              <w:t>21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u w:val="single"/>
                <w:lang w:val="ru-RU" w:eastAsia="en-US"/>
              </w:rPr>
              <w:t xml:space="preserve"> ноября</w:t>
            </w:r>
            <w:r>
              <w:rPr>
                <w:rFonts w:eastAsia="Calibri" w:ascii="Times New Roman" w:hAnsi="Times New Roman"/>
                <w:sz w:val="28"/>
                <w:szCs w:val="28"/>
                <w:u w:val="single"/>
                <w:lang w:val="ru-RU" w:eastAsia="en-US"/>
              </w:rPr>
              <w:t xml:space="preserve"> </w:t>
            </w:r>
            <w:r>
              <w:rPr>
                <w:rFonts w:eastAsia="Calibri" w:ascii="Times New Roman" w:hAnsi="Times New Roman"/>
                <w:sz w:val="28"/>
                <w:szCs w:val="28"/>
                <w:u w:val="single"/>
                <w:lang w:eastAsia="en-US"/>
              </w:rPr>
              <w:t>2022 г.</w:t>
            </w: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 w:ascii="Times New Roman" w:hAnsi="Times New Roman"/>
                <w:sz w:val="28"/>
                <w:szCs w:val="28"/>
                <w:u w:val="single"/>
                <w:lang w:eastAsia="en-US"/>
              </w:rPr>
              <w:t>867</w:t>
            </w:r>
          </w:p>
          <w:p>
            <w:pPr>
              <w:pStyle w:val="Normal"/>
              <w:widowControl w:val="false"/>
              <w:spacing w:lineRule="exact" w:line="283" w:before="0" w:after="0"/>
              <w:ind w:left="0" w:right="0" w:hanging="0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2"/>
                <w:szCs w:val="28"/>
                <w:u w:val="none"/>
              </w:rPr>
            </w:r>
          </w:p>
          <w:p>
            <w:pPr>
              <w:pStyle w:val="Normal"/>
              <w:widowControl w:val="false"/>
              <w:spacing w:lineRule="exact" w:line="283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(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>в редакции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 xml:space="preserve"> постановления</w:t>
            </w:r>
          </w:p>
          <w:p>
            <w:pPr>
              <w:pStyle w:val="Normal"/>
              <w:widowControl w:val="false"/>
              <w:spacing w:lineRule="exact" w:line="283" w:before="0" w:after="0"/>
              <w:ind w:left="0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администрации города Лермонтова</w:t>
            </w:r>
          </w:p>
          <w:p>
            <w:pPr>
              <w:pStyle w:val="Normal"/>
              <w:widowControl w:val="false"/>
              <w:spacing w:lineRule="exact" w:line="283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u w:val="none"/>
                <w:lang w:val="ru-RU" w:eastAsia="en-US" w:bidi="ar-SA"/>
              </w:rPr>
              <w:t>от _______________  № ___)</w:t>
            </w:r>
          </w:p>
          <w:p>
            <w:pPr>
              <w:pStyle w:val="Normal"/>
              <w:widowControl w:val="false"/>
              <w:snapToGrid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2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-567" w:right="-851" w:firstLine="141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567" w:right="-851" w:firstLine="141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-567" w:right="-851" w:firstLine="141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основных мероприятий подпрограмм муниципальной программы города Лермонтова 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«Создание условий для эффективного использования муниципального имущества города Лермонтова»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6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99"/>
        <w:gridCol w:w="2999"/>
        <w:gridCol w:w="1740"/>
        <w:gridCol w:w="448"/>
        <w:gridCol w:w="3567"/>
        <w:gridCol w:w="1276"/>
        <w:gridCol w:w="1566"/>
        <w:gridCol w:w="2969"/>
      </w:tblGrid>
      <w:tr>
        <w:trPr>
          <w:trHeight w:val="240" w:hRule="atLeast"/>
          <w:cantSplit w:val="true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Наименование</w:t>
            </w:r>
          </w:p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основного мероприятия подпрограммы</w:t>
            </w:r>
          </w:p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Тип</w:t>
            </w:r>
          </w:p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основного мероприятия</w:t>
            </w:r>
          </w:p>
        </w:tc>
        <w:tc>
          <w:tcPr>
            <w:tcW w:w="4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(соисполнитель, участник)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основного мероприятия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2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Связь с индикаторами достижения целей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программы и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показателями решения задач подпрограммы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программы</w:t>
            </w:r>
          </w:p>
        </w:tc>
      </w:tr>
      <w:tr>
        <w:trPr>
          <w:trHeight w:val="2001" w:hRule="atLeast"/>
          <w:cantSplit w:val="true"/>
        </w:trPr>
        <w:tc>
          <w:tcPr>
            <w:tcW w:w="599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99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40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1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начала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9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1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trHeight w:val="240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1. Программы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</w:t>
            </w: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val="ru-RU" w:eastAsia="en-US" w:bidi="ar-SA"/>
              </w:rPr>
              <w:t>омплексное решение проблемы повышения эффективности использования муниципального имущества и земельных участков города Лермонтова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1 «Обеспечение эффективности использования имущества муниципальной собственности»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Задача 1. Подпрограммы 1. 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«Учет муниципального имущества и формирование муниципальной собственности на объекты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недвижимого имущества и земельные участки»</w:t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88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 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9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Пункты 1-4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3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Задача 2. Подпрограммы 1.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Программы «Повышение эффективности управление муниципальным имуществом,</w:t>
            </w:r>
          </w:p>
          <w:p>
            <w:pPr>
              <w:pStyle w:val="Normal"/>
              <w:widowControl w:val="false"/>
              <w:spacing w:lineRule="exact" w:line="238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находящегося в муниципальной собственности города Лермонтова»</w:t>
            </w:r>
            <w:bookmarkStart w:id="0" w:name="_GoBack"/>
            <w:bookmarkEnd w:id="0"/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2 «Оформление права муниципальной собственности города Лермонтова на земельные участки и доли в праве общей собственности на земельные участки отнесенные к муниципальной собственности города Лермонтова и их рациональное использование»</w:t>
            </w:r>
          </w:p>
        </w:tc>
        <w:tc>
          <w:tcPr>
            <w:tcW w:w="2188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 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9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Пункты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5-6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  <w:tr>
        <w:trPr>
          <w:trHeight w:val="135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3 «Создание условий для эффективного выполнения полномочий органами власти»</w:t>
            </w:r>
          </w:p>
        </w:tc>
        <w:tc>
          <w:tcPr>
            <w:tcW w:w="2188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 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9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Пункты 7-8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  <w:tr>
        <w:trPr>
          <w:trHeight w:val="135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4 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Лермонтова»</w:t>
            </w:r>
          </w:p>
        </w:tc>
        <w:tc>
          <w:tcPr>
            <w:tcW w:w="2188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 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9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Пункты 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2. Программы</w:t>
            </w:r>
          </w:p>
          <w:p>
            <w:pPr>
              <w:pStyle w:val="ConsPlusCell"/>
              <w:widowControl w:val="false"/>
              <w:spacing w:lineRule="exact" w:line="2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«Создание условий для обеспечения доступности населения в области использования муниципального имущества и земельных участков города Лермонтова»</w:t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Подпрограмма 2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«Приватизация муниципального имущества»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Задача 1. Подпрограммы 2. Программы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«О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беспечение поступления в бюджет города Лермонтова доходов от продажи муниципального имущества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99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88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56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29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Пункты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10-11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</w:tbl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</w:t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заместителя главы администрации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города Лермонтова    </w:t>
        <w:tab/>
        <w:tab/>
        <w:tab/>
        <w:tab/>
        <w:t xml:space="preserve">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Е.В. Руденко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 w:right="-598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1985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72200216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tbl>
    <w:tblPr>
      <w:tblW w:w="15168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600"/>
      <w:gridCol w:w="2999"/>
      <w:gridCol w:w="2070"/>
      <w:gridCol w:w="3686"/>
      <w:gridCol w:w="1276"/>
      <w:gridCol w:w="1368"/>
      <w:gridCol w:w="3168"/>
    </w:tblGrid>
    <w:tr>
      <w:trPr>
        <w:trHeight w:val="240" w:hRule="atLeast"/>
        <w:cantSplit w:val="true"/>
      </w:trPr>
      <w:tc>
        <w:tcPr>
          <w:tcW w:w="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</w:t>
          </w:r>
        </w:p>
      </w:tc>
      <w:tc>
        <w:tcPr>
          <w:tcW w:w="29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2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3</w:t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4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</w:tc>
      <w:tc>
        <w:tcPr>
          <w:tcW w:w="1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6</w:t>
          </w:r>
        </w:p>
      </w:tc>
      <w:tc>
        <w:tcPr>
          <w:tcW w:w="31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7</w:t>
          </w:r>
        </w:p>
      </w:tc>
    </w:tr>
  </w:tbl>
  <w:p>
    <w:pPr>
      <w:pStyle w:val="Style28"/>
      <w:rPr>
        <w:rFonts w:ascii="Times New Roman" w:hAnsi="Times New Roman" w:cs="Times New Roman"/>
        <w:sz w:val="10"/>
        <w:szCs w:val="10"/>
      </w:rPr>
    </w:pPr>
    <w:r>
      <w:rPr>
        <w:rFonts w:cs="Times New Roman" w:ascii="Times New Roman" w:hAnsi="Times New Roman"/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357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5"/>
    <w:qFormat/>
    <w:rsid w:val="006e0eb4"/>
    <w:rPr>
      <w:rFonts w:ascii="Times New Roman" w:hAnsi="Times New Roman" w:eastAsia="Calibri" w:cs="Times New Roman"/>
      <w:sz w:val="32"/>
      <w:szCs w:val="24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d67ad1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d67ad1"/>
    <w:rPr/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64726e"/>
    <w:rPr>
      <w:rFonts w:ascii="Tahoma" w:hAnsi="Tahoma" w:cs="Tahoma"/>
      <w:sz w:val="16"/>
      <w:szCs w:val="16"/>
    </w:rPr>
  </w:style>
  <w:style w:type="character" w:styleId="Appleconvertedspace">
    <w:name w:val="apple-converted-space"/>
    <w:qFormat/>
    <w:rPr/>
  </w:style>
  <w:style w:type="character" w:styleId="Style18">
    <w:name w:val="Гипертекстовая ссылка"/>
    <w:qFormat/>
    <w:rPr>
      <w:rFonts w:cs="Times New Roman"/>
      <w:color w:val="106BBE"/>
    </w:rPr>
  </w:style>
  <w:style w:type="character" w:styleId="Style19">
    <w:name w:val="Текст сноски Знак"/>
    <w:qFormat/>
    <w:rPr>
      <w:lang w:val="ru-RU" w:bidi="ar-SA"/>
    </w:rPr>
  </w:style>
  <w:style w:type="character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Style20">
    <w:name w:val="Основной шрифт абзаца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eastAsia="Calibri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sz w:val="28"/>
      <w:szCs w:val="28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eastAsia="Calibri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eastAsia="Calibri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6"/>
    <w:rsid w:val="006e0eb4"/>
    <w:pPr>
      <w:spacing w:lineRule="auto" w:line="240" w:before="0" w:after="0"/>
    </w:pPr>
    <w:rPr>
      <w:rFonts w:ascii="Times New Roman" w:hAnsi="Times New Roman" w:eastAsia="Calibri" w:cs="Times New Roman"/>
      <w:sz w:val="32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Cell" w:customStyle="1">
    <w:name w:val="ConsPlusCell"/>
    <w:uiPriority w:val="99"/>
    <w:qFormat/>
    <w:rsid w:val="00e943d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e943d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Прижатый влево"/>
    <w:basedOn w:val="Normal"/>
    <w:next w:val="Normal"/>
    <w:uiPriority w:val="99"/>
    <w:qFormat/>
    <w:rsid w:val="00db1ecf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8"/>
    <w:uiPriority w:val="99"/>
    <w:unhideWhenUsed/>
    <w:rsid w:val="00d67ad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a"/>
    <w:uiPriority w:val="99"/>
    <w:unhideWhenUsed/>
    <w:rsid w:val="00d67ad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67ad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64726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3">
    <w:name w:val="Обычный (веб)"/>
    <w:basedOn w:val="Normal"/>
    <w:qFormat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styleId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34">
    <w:name w:val="Нормальный (таблица)"/>
    <w:basedOn w:val="Normal"/>
    <w:qFormat/>
    <w:pPr>
      <w:widowControl w:val="false"/>
      <w:jc w:val="both"/>
    </w:pPr>
    <w:rPr>
      <w:rFonts w:ascii="Arial" w:hAnsi="Arial" w:cs="Arial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4a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AE31-3ABD-4BA0-83EE-CD16F28F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Application>LibreOffice/7.2.0.4$Windows_X86_64 LibreOffice_project/9a9c6381e3f7a62afc1329bd359cc48accb6435b</Application>
  <AppVersion>15.0000</AppVersion>
  <Pages>4</Pages>
  <Words>472</Words>
  <Characters>2693</Characters>
  <CharactersWithSpaces>3159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dc:description/>
  <dc:language>ru-RU</dc:language>
  <cp:lastModifiedBy/>
  <cp:lastPrinted>2023-10-25T17:52:30Z</cp:lastPrinted>
  <dcterms:modified xsi:type="dcterms:W3CDTF">2023-11-09T11:36:02Z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